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drawing>
          <wp:inline>
            <wp:extent cy="669925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9925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Zyra për hulumtim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ab/>
        <w:tab/>
        <w:tab/>
        <w:tab/>
      </w:r>
      <w:r w:rsidRPr="00000000" w:rsidR="00000000" w:rsidDel="00000000">
        <w:rPr>
          <w:b w:val="1"/>
          <w:sz w:val="24"/>
          <w:rtl w:val="0"/>
        </w:rPr>
        <w:tab/>
        <w:t xml:space="preserve">Standardet e shërbimeve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 të siguruar konsistencë të shërbimit dhe për të definuar pritjet e klientëve të jashtëm, të brendshëm si dhe kolegët, për të demonstruar përkushtim ndaj cilësisë së shërbimeve, për të specifikuar nevojat e klientëve të zyrës, për të siguruar shërbim të standardizuar i cili mund të jetë i matshëm me fokus në përmirësimin e shërbimeve si dhe motivimin dhe vërtetimin e suksesit, Zyra për hulumtim ka vendosur standardet e shërbimit.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Publikimi i revistës shkencore “ SEEU Review”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Zhvillimi profesional i stafit akademik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Botimi i librave universitare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Aplikimi për projekte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Përkrahja dhe monitorimi i projekteve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Databaza për hulumtime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Webfaqja për hulumtim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Çmimi vjetor “Hulumtuesi më i mirë”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Stafi akademik me orar të plotë dhe orar të pjesshëm, stafi administrativë, studentët, recensentët dhe partnerët në projektet kërkimore-shkencore.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Prorektori për hulumtim, përgjegjësi i zyrës për hulumtim, ndihmësi i zyrës për hulumtim.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200" w:line="276" w:before="0"/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shërbimeve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V.1  Komunikimi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lëmin e komunikimit departamenti do të përdorë Standardin e përgjithshëm të Universitetit në të gjitha domenet.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V.2  Publikimi i revistës shkencore  “SEEU Review”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hanging="10"/>
      </w:pPr>
      <w:r w:rsidRPr="00000000" w:rsidR="00000000" w:rsidDel="00000000">
        <w:rPr>
          <w:b w:val="1"/>
          <w:sz w:val="24"/>
          <w:rtl w:val="0"/>
        </w:rPr>
        <w:tab/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botojmë formatin elektronik të  SEEU Review, secilin vit në muajin qershor dhe dhjetor;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publikojmë thirrjen për SEEU Review  në kohë të caktuar, çdo vit,  në fund të janarit dhe korrikut;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mbajmë thirrjen e hapur tre muaj deri në afatin e caktuar;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përkrahje dhe këshillim përmes  emailit zyrtar të revistës gjatë kohës sa vlen  Thirrja për punime shkencore duke u përgjigjur brenda tri ditësh prej kur është parashtruar pyetja respektivisht kërkesa;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konfirmojmë pajtueshmërinë teknike të të gjitha punimeve brenda dy javëve pasi që të përfundojë afati për dorëzim të punimeve shkencore;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koordinojmë vlerësime objektive dhe anonime të punimeve shkencore brenda një muaji pasi të jetë mbyllur shpallja;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përcjellim formularët për vlerësim të recensentëve  deri te autorët brenda një jave pas pranimit të tyre;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sigurojmë dokumentacionin e nevojshëm për kryeredaktorin dhe bordin redaktues për vendimin final brenda një jave;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sjellim vendim përfundimtar objektiv në Bordin redaktues të bazuar në dëshmi brenda një jave;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informojmë autorët për pranim ose refuzim brenda dy ditë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sigurohemi që të gjithë abstraktet janë të përkthyer në tre gjuhë brenda dy ditë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koordinojmë lektorimin e të gjitha punimeve brenda një jave;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përgatitim të gjitha punimet sipas kritereve të VERSITA brenda një jave;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ngarkojmë të gjitha punimet në serverin e VERSITA brenda dy ditëve pune;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informojmë autorët, stakeholderët, bashkëpunëtorët dhe institucionet brenda dhe jashtë vendit deri në fund të muajit qershor dhe dhjetor.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V.3  Zhvillimi profesional i stafit akademik: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10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abonohemi në buletine të cilët përmbajnë informata, artikuj, shpallje për evenimente,thirrje për punime shkencore, linqe dhe dokumente që janë të rëndësishme për zhvillimin profesional të stafit akademik;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grumbullojmë, do të klasifikojmë dhe do të shpërndajmë informata nga burime të ndryshme deri te stafi akademik (administrativ dhe studentët sipas nevojës)  brenda një ditë pune pas pranimit të informatës;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përcjellim  kërkesat e stafit akademik, për pjesëmarrje në konferenca, projekte dhe publikime në revista shkencore, deri te prorektori për hulumtim dhe do të përgjigjemi kërkesës brenda shtatë ditëve;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mbajmë shënime me të dhënat e nevojshme për kërkesat e pranuara dhe të refuzuara;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t’u përgjigjemi pyetjeve apo çështjeve të stafit  në lidhje me statusin e kërkesës së tyre brenda dy ditëve;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procesojmë administrativisht kërkesat e aprovuara deri te Zyra për financa dhe do ta informojmë stafin brenda një dite;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100" w:line="240" w:before="0"/>
        <w:ind w:left="993" w:hanging="446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përkrahje administrative për Komisionin qendror për hulumtim dhe do të qarkullojmë informata në pajtim me procedurat e tij;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V.4</w:t>
      </w:r>
      <w:r w:rsidRPr="00000000" w:rsidR="00000000" w:rsidDel="00000000">
        <w:rPr>
          <w:b w:val="1"/>
          <w:sz w:val="14"/>
          <w:rtl w:val="0"/>
        </w:rPr>
        <w:t xml:space="preserve">   </w:t>
      </w:r>
      <w:r w:rsidRPr="00000000" w:rsidR="00000000" w:rsidDel="00000000">
        <w:rPr>
          <w:b w:val="1"/>
          <w:sz w:val="24"/>
          <w:rtl w:val="0"/>
        </w:rPr>
        <w:t xml:space="preserve">Botimi i librave universitarë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10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grumbullojmë kërkesat për publikimin e librave universitarë nga stafi akademik dhe do ta kompletojmë dokumentacionin e nevojshëm për mbledhjen mujore të Komisionit qendror për hulumtime (KQH);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informojmë autorët për vendimet e KQH brenda tri ditësh;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përgjigjemi brenda dy ditësh pyetjeve ose çështjeve të klientëve lidhur me statusin e kërkesës së tyre;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ndjekim procedurën për botime dhe do të përgatisim kontratat e autorësisë brenda një jave pasi të jetë sjellë vendimi pozitiv i KQH;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procedojmë kërkesat e drejtuar Bibliotekës kombëtare për ISSN nëpërmjet bibliotekës së UEJL;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10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procesojmë pagesën brenda dy ditësh pasi të kemi pranuar faturën e pagesës.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V.5  Aplikimi për projekte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0" w:before="100"/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10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analizojmë nevojat e procesit aplikimit dhe mundësitë për realizim të projektit në bashkëpunim me prorektorin brenda pesë ditësh;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formojmë grupin punues të projektit brenda pesë ditësh.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përkrahim kompletimin e aplikacionit brenda afatit të specifikuar;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përkrahim koordinatorin e projektit në gjetjen e partnerëve brenda afatit të specifikuar;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0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kompletojmë të gjithë dokumentacionin e nevojshëm brenda afatit të specifikuar.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V.6</w:t>
      </w:r>
      <w:r w:rsidRPr="00000000" w:rsidR="00000000" w:rsidDel="00000000">
        <w:rPr>
          <w:sz w:val="24"/>
          <w:rtl w:val="0"/>
        </w:rPr>
        <w:t xml:space="preserve">  </w:t>
      </w:r>
      <w:r w:rsidRPr="00000000" w:rsidR="00000000" w:rsidDel="00000000">
        <w:rPr>
          <w:b w:val="1"/>
          <w:sz w:val="24"/>
          <w:rtl w:val="0"/>
        </w:rPr>
        <w:t xml:space="preserve">Përkrahja dhe monitorimi i projekteve </w:t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do të ofrojmë këshillim dhe ndihmë përgjatë të gjitha fazave të një projekti;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trajnim për koordinatorët e rinj dhe grupet punuese të projekteve para fillimit të projektit;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procesojmë kërkesat për pagesa nga fondet e projekteve në pajtim me procedurat dhe afatet;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10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monitorojmë respektimin e udhëzimeve për menaxhimin e projekteve rregullisht dhe do të konfirmojmë respektimin ose do iniciojmë veprime përmirësuese;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V.7  Databaza e hulumtimit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përditësimin vjetor të  përmbajtjes së Databazës për hulumtim;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informojmë anëtarët e stafit për obligimin e tyre për të futur të dhënat nga aktiviteti i tyre hulumtues  në databazë para nënshkrimit të kontratave të tyre me Universitetin dhe para fillimit të procedurës për vlerësim të kuadrit;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</w:t>
      </w:r>
      <w:r w:rsidRPr="00000000" w:rsidR="00000000" w:rsidDel="00000000">
        <w:rPr>
          <w:rFonts w:cs="Calibri" w:hAnsi="Calibri" w:eastAsia="Calibri" w:ascii="Calibri"/>
          <w:sz w:val="26"/>
          <w:rtl w:val="0"/>
        </w:rPr>
        <w:t xml:space="preserve">t’u sigurojmë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përkrahje teknike anëtarëve të stafit që kanë problem në regjistrimin e të dhënave.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993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V.8  Webfaqja për hulumtim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993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përgaditim materiale për aktivitetet e përgjithshme të hulumtimit sipas nevojës;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993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sigurohemi që materialet për webfaqe  të jenë të përkthyera në tre gjuhë dhe lekturuara para publikimit;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993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përditësimin e materialeve për aktivitetet e përgjithshme të hulumtimit çdo gjashtë  muaj;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V.9  Organizimi dhe menaxhimi i ndarjes së çmimit “Hulumtuesi i vitit”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përpilojmë dhe do ta shpërndajmë Thirrjen për aplikim për çmimin “Hulumtuesi i vitit”në pajtim me afatin e caktuar;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sistemojmë dokumentacionin e mbledhur nga aplikantët e interesuar;</w:t>
      </w:r>
      <w:r w:rsidRPr="00000000" w:rsidR="00000000" w:rsidDel="00000000">
        <w:rPr>
          <w:rFonts w:cs="Calibri" w:hAnsi="Calibri" w:eastAsia="Calibri" w:ascii="Calibri"/>
          <w:i w:val="1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organizojmë dhe do ta përkrahim administratën e Komitetit zgjedhor;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publikojmë rezultatet dhe organizojmë evenimentin për ndarjen e çmimit.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/>
      </w:pPr>
      <w:r w:rsidRPr="00000000" w:rsidR="00000000" w:rsidDel="00000000">
        <w:rPr>
          <w:b w:val="1"/>
          <w:sz w:val="24"/>
          <w:rtl w:val="0"/>
        </w:rPr>
        <w:t xml:space="preserve">VI.</w:t>
        <w:tab/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Regjistri javor i kërkesave;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Pyetësor vjetor për klientët;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10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Raport vjetor për vlerësues në pajtim me standardet e shërbimeve.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5"/>
      <w:numFmt w:val="bullet"/>
      <w:lvlText w:val="●"/>
      <w:pPr>
        <w:ind w:left="1287" w:firstLine="9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007" w:firstLine="16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727" w:firstLine="23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447" w:firstLine="30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167" w:firstLine="380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887" w:firstLine="45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607" w:firstLine="52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327" w:firstLine="59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047" w:firstLine="66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3458" w:firstLine="30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4178" w:firstLine="38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4898" w:firstLine="45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5618" w:firstLine="525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6338" w:firstLine="597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7058" w:firstLine="66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7778" w:firstLine="74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8498" w:firstLine="81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5"/>
      <w:numFmt w:val="bullet"/>
      <w:lvlText w:val="●"/>
      <w:pPr>
        <w:ind w:left="1287" w:firstLine="9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007" w:firstLine="16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727" w:firstLine="23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447" w:firstLine="30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167" w:firstLine="380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887" w:firstLine="45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607" w:firstLine="52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327" w:firstLine="59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047" w:firstLine="66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Standardi për Hulumtim.docx</dc:title>
</cp:coreProperties>
</file>