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vertAlign w:val="baseline"/>
          <w:rtl w:val="0"/>
        </w:rPr>
        <w:t xml:space="preserve">Departamenti i Mirëmbajtjes dhe logjistikës, Mirëmbajtja teknike</w:t>
      </w:r>
    </w:p>
    <w:p w:rsidP="00000000" w:rsidRPr="00000000" w:rsidR="00000000" w:rsidDel="00000000" w:rsidRDefault="00000000">
      <w:pPr>
        <w:spacing w:lineRule="auto" w:after="0" w:line="240" w:before="0"/>
        <w:ind w:left="432" w:hanging="431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432" w:hanging="431"/>
        <w:jc w:val="center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Standardi i shërbimit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432" w:hanging="431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432" w:hanging="431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200" w:line="276" w:before="0"/>
        <w:ind w:left="567" w:hanging="206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Hyrje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567" w:firstLine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Standardi i shërbimit të mirëmbajtjes</w:t>
      </w:r>
      <w:r w:rsidRPr="00000000" w:rsidR="00000000" w:rsidDel="00000000">
        <w:rPr>
          <w:sz w:val="24"/>
          <w:vertAlign w:val="baseline"/>
          <w:rtl w:val="0"/>
        </w:rPr>
        <w:t xml:space="preserve"> teknike ka për detyrë funksionimin pa pengesa të kapaciteteve dhe sistemeve teknike në Universitet.</w:t>
      </w:r>
    </w:p>
    <w:p w:rsidP="00000000" w:rsidRPr="00000000" w:rsidR="00000000" w:rsidDel="00000000" w:rsidRDefault="00000000">
      <w:pPr>
        <w:spacing w:lineRule="auto" w:after="0" w:line="240"/>
        <w:ind w:left="567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Objektivi i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shërbimeve të mirëmbajtjes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është që të jetë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në gjendje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për të planifikuar dhe për të reaguar në mënyrë preventive dhe në kohë për çfarëdo problemi të natyrës teknike në mënyrë efektive dhe efikase, në kohë,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me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shpenzime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të kontrolluara dhe standard të kënaqshëm paraprakisht të definuar dhe duke ruajtur shëndetin dhe garantuar sigurinë e tërë stejkhollderëve. </w:t>
      </w:r>
    </w:p>
    <w:p w:rsidP="00000000" w:rsidRPr="00000000" w:rsidR="00000000" w:rsidDel="00000000" w:rsidRDefault="00000000">
      <w:pPr>
        <w:spacing w:lineRule="auto" w:after="0" w:line="240"/>
        <w:ind w:left="567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Standardi synon të ruaje imazhin dhe reputacionin e Universitetit, të arrije efektivitet dhe efikasitet maksimal dhe ruajtjen e standardeve të larta për shëndetin dhe sigurinë.</w:t>
      </w:r>
    </w:p>
    <w:p w:rsidP="00000000" w:rsidRPr="00000000" w:rsidR="00000000" w:rsidDel="00000000" w:rsidRDefault="00000000">
      <w:pPr>
        <w:spacing w:lineRule="auto" w:after="0" w:line="240"/>
        <w:ind w:left="567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ab/>
      </w:r>
    </w:p>
    <w:p w:rsidP="00000000" w:rsidRPr="00000000" w:rsidR="00000000" w:rsidDel="00000000" w:rsidRDefault="00000000">
      <w:pPr>
        <w:spacing w:lineRule="auto" w:after="0" w:line="240"/>
        <w:ind w:firstLine="567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Procesi i mirëmbajtjes së kapaciteteve teknike përfshinë:</w:t>
      </w:r>
    </w:p>
    <w:p w:rsidP="00000000" w:rsidRPr="00000000" w:rsidR="00000000" w:rsidDel="00000000" w:rsidRDefault="00000000">
      <w:pPr>
        <w:spacing w:lineRule="auto" w:after="0" w:line="24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funksionimin normal i të gjitha pajisjeve teknike përveç pajisjeve të IT;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furnizimi me ujë të pijshëm;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pastrimi i ujërave fekale;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nxjerrja e ujit atmosferik;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furnizimi me energji elektrike për tërë kampusin;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sigurimin e temperaturave optimale normale gjatë tërë kohës;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mirëmbajtja e ndërtesave;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mirëmbajtja e të gjitha dyerve dhe dritareve;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mirëmbajtja e të gjitha mobiljeve dhe pajisjeve brenda në zyra.</w:t>
      </w:r>
    </w:p>
    <w:p w:rsidP="00000000" w:rsidRPr="00000000" w:rsidR="00000000" w:rsidDel="00000000" w:rsidRDefault="00000000">
      <w:pPr>
        <w:spacing w:lineRule="auto" w:after="0" w:line="240"/>
      </w:pPr>
      <w:bookmarkStart w:id="0" w:colFirst="0" w:name="h.gjdgxs" w:colLast="0"/>
      <w:bookmarkEnd w:id="0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200" w:line="276" w:before="0"/>
        <w:ind w:left="567" w:hanging="206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Lëmenjtë e funksionimit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"/>
        </w:numPr>
        <w:spacing w:lineRule="auto" w:line="240" w:before="0"/>
        <w:ind w:left="993" w:hanging="425"/>
      </w:pPr>
      <w:r w:rsidRPr="00000000" w:rsidR="00000000" w:rsidDel="00000000">
        <w:rPr>
          <w:rFonts w:cs="Calibri" w:hAnsi="Calibri" w:eastAsia="Calibri" w:ascii="Calibri"/>
          <w:b w:val="0"/>
          <w:sz w:val="24"/>
          <w:vertAlign w:val="baseline"/>
          <w:rtl w:val="0"/>
        </w:rPr>
        <w:t xml:space="preserve">Komunikimi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/>
        <w:ind w:left="993" w:hanging="425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Mirëmbajtja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korrigjuese (incidente)*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993" w:hanging="425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Mirëmbajtjen</w:t>
      </w:r>
      <w:r w:rsidRPr="00000000" w:rsidR="00000000" w:rsidDel="00000000">
        <w:rPr>
          <w:sz w:val="24"/>
          <w:vertAlign w:val="baseline"/>
          <w:rtl w:val="0"/>
        </w:rPr>
        <w:t xml:space="preserve"> preventive (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parandaluese)**</w:t>
      </w:r>
    </w:p>
    <w:p w:rsidP="00000000" w:rsidRPr="00000000" w:rsidR="00000000" w:rsidDel="00000000" w:rsidRDefault="00000000">
      <w:pPr>
        <w:spacing w:lineRule="auto" w:after="0" w:before="0"/>
        <w:ind w:left="993" w:hanging="425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567" w:firstLine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*Mirëmbajtja</w:t>
      </w:r>
      <w:r w:rsidRPr="00000000" w:rsidR="00000000" w:rsidDel="00000000">
        <w:rPr>
          <w:b w:val="1"/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korrigjuese (incidente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) është mirëmbajtje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për të cilën</w:t>
      </w:r>
      <w:r w:rsidRPr="00000000" w:rsidR="00000000" w:rsidDel="00000000">
        <w:rPr>
          <w:sz w:val="24"/>
          <w:vertAlign w:val="baseline"/>
          <w:rtl w:val="0"/>
        </w:rPr>
        <w:t xml:space="preserve"> te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pajisja reagohet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vetëm pasi që të ketë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ndodh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ndonjë defekt.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Kjo mënyra e mirëmbajtjes është më adekuate për </w:t>
      </w:r>
      <w:r w:rsidRPr="00000000" w:rsidR="00000000" w:rsidDel="00000000">
        <w:rPr>
          <w:sz w:val="24"/>
          <w:vertAlign w:val="baseline"/>
          <w:rtl w:val="0"/>
        </w:rPr>
        <w:t xml:space="preserve">pjesën më të madhe të pajisjeve. </w:t>
      </w:r>
    </w:p>
    <w:p w:rsidP="00000000" w:rsidRPr="00000000" w:rsidR="00000000" w:rsidDel="00000000" w:rsidRDefault="00000000">
      <w:pPr>
        <w:spacing w:lineRule="auto" w:after="0" w:line="240"/>
        <w:ind w:left="567" w:firstLine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**Mirëmbajtjen</w:t>
      </w:r>
      <w:r w:rsidRPr="00000000" w:rsidR="00000000" w:rsidDel="00000000">
        <w:rPr>
          <w:b w:val="1"/>
          <w:sz w:val="24"/>
          <w:vertAlign w:val="baseline"/>
          <w:rtl w:val="0"/>
        </w:rPr>
        <w:t xml:space="preserve"> preventive (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parandaluese)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është mirëmbajtje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sipas së cilës</w:t>
      </w:r>
      <w:r w:rsidRPr="00000000" w:rsidR="00000000" w:rsidDel="00000000">
        <w:rPr>
          <w:sz w:val="24"/>
          <w:vertAlign w:val="baseline"/>
          <w:rtl w:val="0"/>
        </w:rPr>
        <w:t xml:space="preserve"> te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pajisja reagohet në mënyrë të planifikuar, në kohë permanente para se të paraqitet prishja. Kjo metodë</w:t>
      </w:r>
      <w:r w:rsidRPr="00000000" w:rsidR="00000000" w:rsidDel="00000000">
        <w:rPr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zvogëlon</w:t>
      </w:r>
      <w:r w:rsidRPr="00000000" w:rsidR="00000000" w:rsidDel="00000000">
        <w:rPr>
          <w:sz w:val="24"/>
          <w:vertAlign w:val="baseline"/>
          <w:rtl w:val="0"/>
        </w:rPr>
        <w:t xml:space="preserve"> numrin e d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efekteve dhe nevojën për mirëmbajtje korrigjuese. </w:t>
      </w:r>
    </w:p>
    <w:p w:rsidP="00000000" w:rsidRPr="00000000" w:rsidR="00000000" w:rsidDel="00000000" w:rsidRDefault="00000000">
      <w:pPr>
        <w:spacing w:lineRule="auto" w:after="0" w:line="240"/>
        <w:ind w:left="567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200" w:line="276" w:before="0"/>
        <w:ind w:left="567" w:hanging="206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Shfrytëzuesit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sz w:val="24"/>
          <w:vertAlign w:val="baseline"/>
          <w:rtl w:val="0"/>
        </w:rPr>
        <w:t xml:space="preserve">Studentët, stafi akademik dhe administrativ, vizitorët dhe kontraktorët. 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200" w:line="276" w:before="0"/>
        <w:ind w:left="567" w:hanging="206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Stafi përgjegjës për aplikimin e standardeve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sz w:val="24"/>
          <w:vertAlign w:val="baseline"/>
          <w:rtl w:val="0"/>
        </w:rPr>
        <w:t xml:space="preserve">Drejtori i mirëmbajtjes, asistenti i drejtorit për mirëmbajtje teknike, udhëheqësi i mirëmbajtjes, të gjithë mjeshtrit e mirëmbajtjes.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200" w:line="276" w:before="0"/>
        <w:ind w:left="567" w:hanging="206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Standardet e shërbimit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V.1  Komunikimi</w:t>
      </w:r>
    </w:p>
    <w:p w:rsidP="00000000" w:rsidRPr="00000000" w:rsidR="00000000" w:rsidDel="00000000" w:rsidRDefault="00000000">
      <w:pPr>
        <w:spacing w:lineRule="auto" w:after="0" w:before="0"/>
        <w:ind w:left="567" w:firstLine="0"/>
        <w:jc w:val="both"/>
      </w:pPr>
      <w:r w:rsidRPr="00000000" w:rsidR="00000000" w:rsidDel="00000000">
        <w:rPr>
          <w:sz w:val="24"/>
          <w:vertAlign w:val="baseline"/>
          <w:rtl w:val="0"/>
        </w:rPr>
        <w:t xml:space="preserve">Në lëmin e komunikimit departamenti do të përdorë Standardin e përgjithshëm të Universitetit në të gjitha domenet.</w:t>
      </w:r>
    </w:p>
    <w:p w:rsidP="00000000" w:rsidRPr="00000000" w:rsidR="00000000" w:rsidDel="00000000" w:rsidRDefault="00000000">
      <w:pPr>
        <w:ind w:left="993" w:hanging="425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993" w:hanging="425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V.2  Mirëmbajtja korrigjuese</w:t>
      </w:r>
    </w:p>
    <w:p w:rsidP="00000000" w:rsidRPr="00000000" w:rsidR="00000000" w:rsidDel="00000000" w:rsidRDefault="00000000">
      <w:pPr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Ne: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993" w:hanging="425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do të përgjigjemi kërkesave urgjente (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kategoria A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 si p.sh. rrjedhja e ujit, mungesa e rrymës,       mungesa e ujit, mungesa e nxehjes) në mënyrë urgjente brenda 15 minutave;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/>
        <w:ind w:left="567" w:firstLine="0"/>
      </w:pPr>
      <w:r w:rsidRPr="00000000" w:rsidR="00000000" w:rsidDel="00000000">
        <w:rPr>
          <w:sz w:val="24"/>
          <w:vertAlign w:val="baseline"/>
          <w:rtl w:val="0"/>
        </w:rPr>
        <w:t xml:space="preserve">do të eliminojmë rrezikun për stafin dhe shfrytëzuesit menjëherë dhe do limitojmë dëmin;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567" w:firstLine="0"/>
      </w:pPr>
      <w:r w:rsidRPr="00000000" w:rsidR="00000000" w:rsidDel="00000000">
        <w:rPr>
          <w:sz w:val="24"/>
          <w:vertAlign w:val="baseline"/>
          <w:rtl w:val="0"/>
        </w:rPr>
        <w:t xml:space="preserve">do të riparojmë defektin brenda 30 minutave deri në 2 orë , varësisht nga natyra e problemit;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567" w:firstLine="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do të përgjigjemi kërkesave me prioritet mesatar (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kategoria B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 si p.sh. dritat, nxehja ose gypa të zënë) brenda 2 orëve;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/>
        <w:ind w:left="567" w:firstLine="0"/>
      </w:pPr>
      <w:r w:rsidRPr="00000000" w:rsidR="00000000" w:rsidDel="00000000">
        <w:rPr>
          <w:sz w:val="24"/>
          <w:vertAlign w:val="baseline"/>
          <w:rtl w:val="0"/>
        </w:rPr>
        <w:t xml:space="preserve">do të riparojmë defektin brenda 1 deri në 2 orë , varësisht nga natyra e problemit;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567" w:firstLine="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do të përgjigjemi kërkesave me prioritet të ulët (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kategoria C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 si p.sh. kontrolli i temperaturës ose riparime të vogla) brenda një dite punë;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/>
        <w:ind w:left="567" w:firstLine="0"/>
      </w:pPr>
      <w:r w:rsidRPr="00000000" w:rsidR="00000000" w:rsidDel="00000000">
        <w:rPr>
          <w:sz w:val="24"/>
          <w:vertAlign w:val="baseline"/>
          <w:rtl w:val="0"/>
        </w:rPr>
        <w:t xml:space="preserve">do të riparojmë defektin brenda 1 deri në 8 orë  ose brenda afatit të akorduar me paraqitësin e tij, varësisht nga natyra e problemit;</w:t>
      </w:r>
    </w:p>
    <w:p w:rsidP="00000000" w:rsidRPr="00000000" w:rsidR="00000000" w:rsidDel="00000000" w:rsidRDefault="00000000">
      <w:pPr>
        <w:spacing w:lineRule="auto" w:after="0" w:line="24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567" w:firstLine="0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V.3  Mirëmbajtja preventive </w:t>
      </w:r>
    </w:p>
    <w:p w:rsidP="00000000" w:rsidRPr="00000000" w:rsidR="00000000" w:rsidDel="00000000" w:rsidRDefault="00000000">
      <w:pPr>
        <w:spacing w:lineRule="auto" w:after="0" w:line="24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567" w:firstLine="0"/>
      </w:pPr>
      <w:r w:rsidRPr="00000000" w:rsidR="00000000" w:rsidDel="00000000">
        <w:rPr>
          <w:sz w:val="24"/>
          <w:vertAlign w:val="baseline"/>
          <w:rtl w:val="0"/>
        </w:rPr>
        <w:t xml:space="preserve">Ne:</w:t>
      </w:r>
    </w:p>
    <w:p w:rsidP="00000000" w:rsidRPr="00000000" w:rsidR="00000000" w:rsidDel="00000000" w:rsidRDefault="00000000">
      <w:pPr>
        <w:spacing w:lineRule="auto" w:after="0" w:line="24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  </w:t>
        <w:tab/>
        <w:t xml:space="preserve">do të operojmë një cikël të planifikuar të mirëmbajtjes preventive në pajtim me prioritetet dhe afatet e akorduara;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     do të ndërmarrim të gjitha masat e nevojshme të cilat janë të autorizuara dhe të buxhetuara;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/>
        <w:ind w:left="993" w:hanging="425"/>
      </w:pPr>
      <w:r w:rsidRPr="00000000" w:rsidR="00000000" w:rsidDel="00000000">
        <w:rPr>
          <w:sz w:val="24"/>
          <w:vertAlign w:val="baseline"/>
          <w:rtl w:val="0"/>
        </w:rPr>
        <w:t xml:space="preserve">     do të raportojmë rregullisht masa relevante të cilat mund të ndërmerren për të përmirësuar efikasitetin.</w:t>
      </w:r>
    </w:p>
    <w:p w:rsidP="00000000" w:rsidRPr="00000000" w:rsidR="00000000" w:rsidDel="00000000" w:rsidRDefault="00000000">
      <w:pPr>
        <w:spacing w:lineRule="auto" w:after="0" w:line="240"/>
        <w:ind w:left="993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851" w:firstLine="0"/>
      </w:pPr>
      <w:bookmarkStart w:id="1" w:colFirst="0" w:name="h.30j0zll" w:colLast="0"/>
      <w:bookmarkEnd w:id="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/>
      </w:pPr>
      <w:r w:rsidRPr="00000000" w:rsidR="00000000" w:rsidDel="00000000">
        <w:rPr>
          <w:b w:val="1"/>
          <w:sz w:val="24"/>
          <w:vertAlign w:val="baseline"/>
          <w:rtl w:val="0"/>
        </w:rPr>
        <w:t xml:space="preserve">VI  </w:t>
        <w:tab/>
        <w:t xml:space="preserve">Monitorimi dhe informata kthyese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4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Kontrollime ditore të formularëve dhe check-listave;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5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Pyetësor vjetor për klientët;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4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Anketimi i studentëve;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200" w:line="276" w:before="0"/>
        <w:ind w:left="709" w:hanging="424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Analiza e ankesave.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993" w:hanging="424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0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0"/>
      <w:numFmt w:val="bullet"/>
      <w:lvlText w:val="●"/>
      <w:pPr>
        <w:ind w:left="1791" w:firstLine="1431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511" w:firstLine="2151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231" w:firstLine="2871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951" w:firstLine="3591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671" w:firstLine="4311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391" w:firstLine="5031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111" w:firstLine="5751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831" w:firstLine="6471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551" w:firstLine="7191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0"/>
      <w:numFmt w:val="bullet"/>
      <w:lvlText w:val="●"/>
      <w:pPr>
        <w:ind w:left="786" w:firstLine="426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506" w:firstLine="1146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226" w:firstLine="1866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946" w:firstLine="2586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66" w:firstLine="3306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86" w:firstLine="4026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106" w:firstLine="4746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826" w:firstLine="5466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546" w:firstLine="6186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0"/>
      <w:numFmt w:val="bullet"/>
      <w:lvlText w:val="●"/>
      <w:pPr>
        <w:ind w:left="1287" w:firstLine="92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007" w:firstLine="164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727" w:firstLine="236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447" w:firstLine="308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167" w:firstLine="380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887" w:firstLine="452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607" w:firstLine="524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327" w:firstLine="596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047" w:firstLine="6687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lvl w:ilvl="0">
      <w:start w:val="0"/>
      <w:numFmt w:val="bullet"/>
      <w:lvlText w:val="●"/>
      <w:pPr>
        <w:ind w:left="1004" w:firstLine="64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724" w:firstLine="136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444" w:firstLine="208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164" w:firstLine="280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884" w:firstLine="352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604" w:firstLine="424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324" w:firstLine="496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044" w:firstLine="568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764" w:firstLine="640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lvl w:ilvl="0">
      <w:start w:val="1"/>
      <w:numFmt w:val="upperRoman"/>
      <w:lvlText w:val="%1"/>
      <w:pPr>
        <w:ind w:left="108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9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41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3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76" w:before="480"/>
      <w:ind w:left="432" w:right="0" w:hanging="431"/>
      <w:jc w:val="left"/>
    </w:pPr>
    <w:rPr>
      <w:rFonts w:cs="Cambria" w:hAnsi="Cambria" w:eastAsia="Cambria" w:ascii="Cambria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0" w:line="276" w:before="200"/>
      <w:ind w:left="576" w:right="0" w:hanging="575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0" w:line="276" w:before="200"/>
      <w:ind w:left="720" w:right="0" w:hanging="719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2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0" w:line="276" w:before="200"/>
      <w:ind w:left="864" w:right="0" w:hanging="863"/>
      <w:jc w:val="left"/>
    </w:pPr>
    <w:rPr>
      <w:rFonts w:cs="Cambria" w:hAnsi="Cambria" w:eastAsia="Cambria" w:ascii="Cambria"/>
      <w:b w:val="1"/>
      <w:i w:val="1"/>
      <w:smallCaps w:val="0"/>
      <w:strike w:val="0"/>
      <w:color w:val="4f81bd"/>
      <w:sz w:val="22"/>
      <w:u w:val="none"/>
      <w:vertAlign w:val="baseline"/>
    </w:rPr>
  </w:style>
  <w:style w:styleId="Heading5" w:type="paragraph">
    <w:name w:val="heading 5"/>
    <w:basedOn w:val="Normal"/>
    <w:next w:val="Normal"/>
    <w:pPr>
      <w:spacing w:lineRule="auto" w:after="0" w:line="276" w:before="200"/>
      <w:ind w:left="1008" w:right="0" w:hanging="1007"/>
      <w:jc w:val="left"/>
    </w:pPr>
    <w:rPr>
      <w:rFonts w:cs="Cambria" w:hAnsi="Cambria" w:eastAsia="Cambria" w:ascii="Cambria"/>
      <w:b w:val="0"/>
      <w:i w:val="0"/>
      <w:smallCaps w:val="0"/>
      <w:strike w:val="0"/>
      <w:color w:val="243f60"/>
      <w:sz w:val="22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0" w:line="276" w:before="200"/>
      <w:ind w:left="1152" w:right="0" w:hanging="1151"/>
      <w:jc w:val="left"/>
    </w:pPr>
    <w:rPr>
      <w:rFonts w:cs="Cambria" w:hAnsi="Cambria" w:eastAsia="Cambria" w:ascii="Cambria"/>
      <w:b w:val="0"/>
      <w:i w:val="1"/>
      <w:smallCaps w:val="0"/>
      <w:strike w:val="0"/>
      <w:color w:val="243f60"/>
      <w:sz w:val="22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300" w:line="240" w:before="0"/>
      <w:ind w:left="0" w:firstLine="0" w:right="0"/>
      <w:jc w:val="left"/>
    </w:pPr>
    <w:rPr>
      <w:rFonts w:cs="Cambria" w:hAnsi="Cambria" w:eastAsia="Cambria" w:ascii="Cambria"/>
      <w:b w:val="0"/>
      <w:i w:val="0"/>
      <w:smallCaps w:val="0"/>
      <w:strike w:val="0"/>
      <w:color w:val="17365d"/>
      <w:sz w:val="52"/>
      <w:u w:val="none"/>
      <w:vertAlign w:val="baseline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Standardi për Mirëmbajtje.docx</dc:title>
</cp:coreProperties>
</file>