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left="-566" w:firstLine="141"/>
      </w:pPr>
      <w:r w:rsidRPr="00000000" w:rsidR="00000000" w:rsidDel="00000000">
        <w:drawing>
          <wp:inline>
            <wp:extent cy="676275" cx="554355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676275" cx="5543550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425" w:firstLine="0"/>
      </w:pPr>
      <w:r w:rsidRPr="00000000" w:rsidR="00000000" w:rsidDel="00000000">
        <w:rPr>
          <w:b w:val="1"/>
          <w:sz w:val="28"/>
          <w:rtl w:val="0"/>
        </w:rPr>
        <w:t xml:space="preserve">Qendra e karrierës (QK)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b w:val="1"/>
          <w:sz w:val="24"/>
          <w:rtl w:val="0"/>
        </w:rPr>
        <w:t xml:space="preserve">Standardet e shërbimit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Hyrje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84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Qendra e karrierës ka miratuar standardin e shërbimit për punësimin dhe aktivitetet  stazhimit (internship-it) për studentët, alumnin dhe </w:t>
      </w:r>
      <w:r w:rsidRPr="00000000" w:rsidR="00000000" w:rsidDel="00000000">
        <w:rPr>
          <w:rFonts w:cs="Calibri" w:hAnsi="Calibri" w:eastAsia="Calibri" w:ascii="Calibri"/>
          <w:i w:val="1"/>
          <w:sz w:val="24"/>
          <w:rtl w:val="0"/>
        </w:rPr>
        <w:t xml:space="preserve">stakeholderët e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jashtëm në mënyrë që të sigurojë një shërbim me cilësi të lartë. Qendra synon të sigurojë qëndrueshmëri të shërbimit, të caktojë pritjet me klientët e jashtëm dhe të brendshëm dhe kolegët dhe të demonstrojë angazhimin për cilësinë. Gjithashtu ka për qëllim të bëjë të qartë se për çfarë kanë nevojë klientët e QK dhe se çka mund të presin ata nga Qendra. Standardi siguron se ajo që është ofruar mund të matet me theks të veçantë për përmirësimin e shërbimeve, si dhe motivimin pozitiv dhe duke pranuar suksesin.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Lëmenjtë e funksionimit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Komunikimi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Shërbimet e brendshme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Shërbimet e jashtme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429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200" w:line="276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Klientët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firstLine="0"/>
      </w:pPr>
      <w:r w:rsidRPr="00000000" w:rsidR="00000000" w:rsidDel="00000000">
        <w:rPr>
          <w:sz w:val="24"/>
          <w:rtl w:val="0"/>
        </w:rPr>
        <w:t xml:space="preserve">Studentët, partnerët e universitetit,  institucionet publike, kompanitë, Alumni i UEJL-së, studentët ndërkombëtarë, menaxhmenti i UEJL, anëtarët e stafit akademik dhe administrativ.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Anëtarët e stafit përgjegjës për të realizuar standardet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84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Lideri i Qendrës së karrierës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ab/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Standardet e shërbimit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720" w:firstLine="284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V.1</w:t>
        <w:tab/>
        <w:t xml:space="preserve">Komunikimi i përgjithshëm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09" w:firstLine="0"/>
        <w:jc w:val="both"/>
      </w:pPr>
      <w:r w:rsidRPr="00000000" w:rsidR="00000000" w:rsidDel="00000000">
        <w:rPr>
          <w:sz w:val="24"/>
          <w:rtl w:val="0"/>
        </w:rPr>
        <w:t xml:space="preserve">Në lëmin e komunikimit departamenti do të përdorë Standardin e përgjithshëm të Universitetit në të gjitha domenet.</w:t>
      </w:r>
    </w:p>
    <w:p w:rsidP="00000000" w:rsidRPr="00000000" w:rsidR="00000000" w:rsidDel="00000000" w:rsidRDefault="00000000">
      <w:pPr>
        <w:spacing w:lineRule="auto" w:after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firstLine="284"/>
      </w:pPr>
      <w:r w:rsidRPr="00000000" w:rsidR="00000000" w:rsidDel="00000000">
        <w:rPr>
          <w:b w:val="1"/>
          <w:sz w:val="24"/>
          <w:rtl w:val="0"/>
        </w:rPr>
        <w:t xml:space="preserve">V.2  Shërbimet e brendshme (për studentët dhe stafin)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left="1069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760"/>
        </w:tabs>
      </w:pPr>
      <w:r w:rsidRPr="00000000" w:rsidR="00000000" w:rsidDel="00000000">
        <w:rPr>
          <w:b w:val="1"/>
          <w:sz w:val="24"/>
          <w:rtl w:val="0"/>
        </w:rPr>
        <w:t xml:space="preserve">      Ne :</w:t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760"/>
        </w:tabs>
        <w:spacing w:lineRule="auto" w:after="0" w:line="276" w:before="0"/>
        <w:ind w:left="72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maksimalizojmë promovimin e shërbimeve të Qendrës së karrierës përmes sesioneve të informimit për studentët, stafin, menaxhmentin, palët e interesuara, në bazë të planit vjetor të aktiviteteve;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pozitivisht dhe aktivisht do  të sigurojmë udhëzime, informacion dhe mbështetje për gjetjen institucioneve dhe kompanive për kryerjen mësimit praktik, stazhimit dhe /ose punësimit dhe kërkesat e tjera të përgjithshme dhe individuale;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mbështesim dhe do të udhëzojmë studentët që largohen, për të shkruar  CV, letër motivimi, kompletim të formularëve të aplikimit, trajnim për teknikat e intervistimit me kërkesë individuale dhe grupi, duke ofruar seanca të rregullta;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organizojmë panairin e karrierës për studentët aktual , alumnin e UEJL dhe stafin  çdo vit akademik;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sigurojmë Raportin vjetor për punësim të Qendrës së karrierës për stafin, menaxhmentin dhe palët e interesuara deri në fund të dhjetorit;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organizojmë takime me studentë/alumnin në kohë dhe vend që është më i përshtatshëm për ata dhe do të sigurojmë të gjitha materialet mbështetëse;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20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futim informacionin e punësimit në bazë të të dhënave brenda një dite pune nga marrja e tyre.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6855"/>
        </w:tabs>
      </w:pPr>
      <w:r w:rsidRPr="00000000" w:rsidR="00000000" w:rsidDel="00000000">
        <w:rPr>
          <w:sz w:val="24"/>
          <w:rtl w:val="0"/>
        </w:rPr>
        <w:t xml:space="preserve">      </w:t>
      </w:r>
      <w:r w:rsidRPr="00000000" w:rsidR="00000000" w:rsidDel="00000000">
        <w:rPr>
          <w:b w:val="1"/>
          <w:sz w:val="24"/>
          <w:rtl w:val="0"/>
        </w:rPr>
        <w:t xml:space="preserve">V.3  Shërbimet e jashtme </w:t>
      </w:r>
      <w:r w:rsidRPr="00000000" w:rsidR="00000000" w:rsidDel="00000000">
        <w:rPr>
          <w:sz w:val="24"/>
          <w:rtl w:val="0"/>
        </w:rPr>
        <w:t xml:space="preserve"> </w:t>
        <w:tab/>
      </w:r>
    </w:p>
    <w:p w:rsidP="00000000" w:rsidRPr="00000000" w:rsidR="00000000" w:rsidDel="00000000" w:rsidRDefault="00000000">
      <w:pPr/>
      <w:r w:rsidRPr="00000000" w:rsidR="00000000" w:rsidDel="00000000">
        <w:rPr>
          <w:b w:val="1"/>
          <w:sz w:val="24"/>
          <w:rtl w:val="0"/>
        </w:rPr>
        <w:t xml:space="preserve">      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mbështetim kompanitë që pranojnë studentët e UEJL për internship (stazhim) apo punësim;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organizojmë mbledhje mujore të grupit punues të karrierës dhe do të shpërndajmë procesverbalin brenda tre ditë anëtarëve;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në mënyrë aktive do të  mbajmë lidhje të mira me grupet e interesit ekzistues me kontratë të rregullt gjatë vitit;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kontrollojmë dhe do t’u përgjigjemi pyetjeve të dërguara në e-mail adresën QK brenda dy ditëve të punës;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kontrollojmë dhe do të përditësojmë informacionin e postuar në ueb faqen e QK në bazë  mujore;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rishikojmë informacionin dhe prezantimin në ueb faqen e QK në gjashtë muaj;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t’i ftojmë kompanitë të marrin pjesë në panairin e karrierës, me target që së paku 30 kompani të marrin pjesë;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organizojmë takime me përfaqësuesit e kompanive për të ndihmuar studentët për internship ose punësim brenda tri ditëve të punës ose sa më parë që është e mundshme për organizimin dhe studentët;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dërgojmë/ndajmë bazën e të dhënave të studentëve të diplomuar me përfaqësuesit e kompanive për punësim, të paktën 4 herë në muaj;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sigurojmë informacion të saktë dhe të përditësuar për stakeholderët e jashtëm brenda një dite pune;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ndjekim takimet në ambientet e jashtme sipas kërkesave të stakeholderëve në 95%  të rasteve;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të sigurojmë këshilla dhe përkrahje për stakeholderët e jashtëm për përdorimin e bazës së të dhënave për punësim në kohë të përshtatshme për kompaninë/institucionin.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720" w:firstLine="72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284" w:hanging="70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Monitorimi dhe informata kthyese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84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Raporti javor i aktiviteteve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Pytësor vjetor për klientët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Anketimi i studentëve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Kërkesa për vlerësim nga shfrytëzuesi pas kryerjes së punëve më të mëdha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709" w:hanging="424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Vlerësimi nga klientët dhe partnerët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134" w:right="1134" w:top="1134" w:bottom="85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2138" w:firstLine="177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858" w:firstLine="249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578" w:firstLine="321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4298" w:firstLine="393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5018" w:firstLine="465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738" w:firstLine="537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458" w:firstLine="609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7178" w:firstLine="681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898" w:firstLine="7538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bullet"/>
      <w:lvlText w:val="●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200" w:firstLine="68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pPr>
        <w:ind w:left="1429" w:firstLine="106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149" w:firstLine="178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869" w:firstLine="250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589" w:firstLine="322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309" w:firstLine="394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029" w:firstLine="466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749" w:firstLine="538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469" w:firstLine="610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189" w:firstLine="682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1"/>
      <w:numFmt w:val="upperRoman"/>
      <w:lvlText w:val="%1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2160" w:firstLine="19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4320" w:firstLine="41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6480" w:firstLine="63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Standardi për Qendrën e Karrieres.docx</dc:title>
</cp:coreProperties>
</file>