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/>
      <w:r w:rsidRPr="00000000" w:rsidR="00000000" w:rsidDel="00000000">
        <w:drawing>
          <wp:inline>
            <wp:extent cy="669925" cx="5830933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ext cy="669925" cx="5830933"/>
                    </a:xfrm>
                    <a:prstGeom prst="rect"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0"/>
        <w:ind w:left="-449" w:firstLine="0"/>
      </w:pPr>
      <w:r w:rsidRPr="00000000" w:rsidR="00000000" w:rsidDel="00000000">
        <w:rPr>
          <w:b w:val="1"/>
          <w:sz w:val="28"/>
          <w:rtl w:val="0"/>
        </w:rPr>
        <w:t xml:space="preserve">Shërbimi për studentë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0"/>
        <w:ind w:left="-449" w:firstLine="0"/>
        <w:jc w:val="center"/>
      </w:pPr>
      <w:r w:rsidRPr="00000000" w:rsidR="00000000" w:rsidDel="00000000">
        <w:rPr>
          <w:b w:val="1"/>
          <w:sz w:val="24"/>
          <w:rtl w:val="0"/>
        </w:rPr>
        <w:t xml:space="preserve">Standardet e shërbimit për Zyrën e regjistrit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76" w:before="0"/>
        <w:ind w:left="270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Hyrje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70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Zyra e regjistrit është përkushtuar për menaxhimin efikas të të dhënave të studentëve me integritet, besueshmëri, konfidencialitetit dhe mirësjellje në kuadër të udhëzimeve që dalin nga  rregulloret e Universitetit. Zyra e pranimit ka përcaktuar standardet e mëposhtme të shërbimit për të siguruar qëndrueshmëri dhe për të demonstruar angazhimin për cilësinë e shërbimit.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270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 Lëmenjtë e funksionimit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1035" w:hanging="359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Komunikimi me email, telefon dhe i shkruar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1035" w:hanging="359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Prodhimi dhe dhënia e informacionit nga Zyra e regjistrit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1035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270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Klientët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Studentët e ardhshëm, studentët aktualë, stafi akademik dhe administrativ, organet qeveritare dhe komuniteti i biznesit.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72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270" w:hanging="719"/>
        <w:jc w:val="both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Anëtarët e stafit përgjegjës për të realizuar standardet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  <w:jc w:val="both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Lideri i Zyrës së regjistrit dhe asistentët në Zyrën e regjistrit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after="0" w:line="240" w:before="0"/>
        <w:ind w:left="270" w:hanging="719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Standardet e shërbimit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ind w:left="270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V.1</w:t>
        <w:tab/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Komunikimi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108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4" w:firstLine="0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Në lëmin e komunikimit departamenti do të përdorë Standardin e përgjithshëm të Universitetit në të gjitha domenet përveç atyre specifike për sektorin e regjistrit si më poshtë: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4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4" w:firstLine="0"/>
      </w:pP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Ne: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284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t'ju ofrojmë menjëherë të gjitha informatat që ju nevojiten kurdo që të jetë e mundur;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do t'ju kontaktojmë në lidhje me kërkesën tuaj brenda dy ditëve të punës, në qoftë se informacioni nuk mund të sigurohet menjëherë;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180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line="240"/>
        <w:ind w:firstLine="284"/>
        <w:jc w:val="both"/>
      </w:pPr>
      <w:r w:rsidRPr="00000000" w:rsidR="00000000" w:rsidDel="00000000">
        <w:rPr>
          <w:b w:val="1"/>
          <w:sz w:val="24"/>
          <w:rtl w:val="0"/>
        </w:rPr>
        <w:t xml:space="preserve">V.2 </w:t>
        <w:tab/>
        <w:t xml:space="preserve">Prodhimi dhe dhënia e informacionit nga Zyra e regjistrit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284"/>
      </w:pPr>
      <w:r w:rsidRPr="00000000" w:rsidR="00000000" w:rsidDel="00000000">
        <w:rPr>
          <w:b w:val="1"/>
          <w:sz w:val="24"/>
          <w:rtl w:val="0"/>
        </w:rPr>
        <w:t xml:space="preserve">Ne: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me saktësi do t’i mbajmë të dhënat akademike dhe në kohën e duhur duke respektuar konfidencialitetin e të dhënave dhe informacionit personal;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do ta </w:t>
      </w: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bëjmë postimin e notave  në transkriptin e të dhënave brenda dy ditëve të punës pas finalizimit të notave;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do ta bëjmë ndryshimin e notave të miratuara brenda pesë ditëve të punës nga pranimi i miratimit;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do të bëjmë procedimin e aplikimit të miratuar për ndryshim të programit/transfer  brenda pesë ditëve të punës nga pranimi i vendimit;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do ta lëshojmë transkriptin zyrtar të të dhënave brenda dy ditëve të punës;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do të lëshojmë certifikatë të diplomimit brenda dhjetë ditëve të punës;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20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do ta lëshojmë diplomën </w:t>
      </w: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brenda tri muajve</w:t>
      </w:r>
      <w:r w:rsidRPr="00000000" w:rsidR="00000000" w:rsidDel="00000000">
        <w:rPr>
          <w:rFonts w:cs="Calibri" w:hAnsi="Calibri" w:eastAsia="Calibri" w:ascii="Calibri"/>
          <w:color w:val="ff0000"/>
          <w:sz w:val="24"/>
          <w:rtl w:val="0"/>
        </w:rPr>
        <w:t xml:space="preserve"> </w:t>
      </w:r>
      <w:r w:rsidRPr="00000000" w:rsidR="00000000" w:rsidDel="00000000">
        <w:rPr>
          <w:rFonts w:cs="Calibri" w:hAnsi="Calibri" w:eastAsia="Calibri" w:ascii="Calibri"/>
          <w:color w:val="2d2d2d"/>
          <w:sz w:val="24"/>
          <w:rtl w:val="0"/>
        </w:rPr>
        <w:t xml:space="preserve">pas pranimit të certifikatës së diplomimit.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284" w:hanging="709"/>
      </w:pPr>
      <w:r w:rsidRPr="00000000" w:rsidR="00000000" w:rsidDel="00000000">
        <w:rPr>
          <w:b w:val="1"/>
          <w:sz w:val="24"/>
          <w:rtl w:val="0"/>
        </w:rPr>
        <w:t xml:space="preserve"> VI.</w:t>
        <w:tab/>
        <w:t xml:space="preserve">  </w:t>
      </w:r>
      <w:r w:rsidRPr="00000000" w:rsidR="00000000" w:rsidDel="00000000">
        <w:rPr>
          <w:rFonts w:cs="Calibri" w:hAnsi="Calibri" w:eastAsia="Calibri" w:ascii="Calibri"/>
          <w:b w:val="1"/>
          <w:sz w:val="24"/>
          <w:rtl w:val="0"/>
        </w:rPr>
        <w:t xml:space="preserve">Monitorimi dhe informata kthyese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Anketimi vjetor i klientëve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Vlerësimi nga studentët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76" w:before="0"/>
        <w:ind w:left="709" w:hanging="424"/>
      </w:pPr>
      <w:r w:rsidRPr="00000000" w:rsidR="00000000" w:rsidDel="00000000">
        <w:rPr>
          <w:rFonts w:cs="Calibri" w:hAnsi="Calibri" w:eastAsia="Calibri" w:ascii="Calibri"/>
          <w:sz w:val="24"/>
          <w:rtl w:val="0"/>
        </w:rPr>
        <w:t xml:space="preserve">Analiza e ankesave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 w:line="276" w:before="0"/>
        <w:ind w:left="1800" w:firstLine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5"/>
      <w:numFmt w:val="bullet"/>
      <w:lvlText w:val="●"/>
      <w:pPr>
        <w:ind w:left="1035" w:firstLine="675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1755" w:firstLine="1395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2475" w:firstLine="2115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195" w:firstLine="2835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3915" w:firstLine="3555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4635" w:firstLine="4275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5355" w:firstLine="4995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075" w:firstLine="5715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6795" w:firstLine="6435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lvl w:ilvl="0">
      <w:start w:val="1"/>
      <w:numFmt w:val="upperRoman"/>
      <w:lvlText w:val="%1"/>
      <w:pPr>
        <w:ind w:left="270" w:hanging="449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pPr>
        <w:ind w:left="630" w:firstLine="27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pPr>
        <w:ind w:left="1350" w:firstLine="117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pPr>
        <w:ind w:left="2070" w:firstLine="171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pPr>
        <w:ind w:left="2790" w:firstLine="243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pPr>
        <w:ind w:left="3510" w:firstLine="333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pPr>
        <w:ind w:left="4230" w:firstLine="387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pPr>
        <w:ind w:left="4950" w:firstLine="459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pPr>
        <w:ind w:left="5670" w:firstLine="549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lvl w:ilvl="0">
      <w:start w:val="5"/>
      <w:numFmt w:val="bullet"/>
      <w:lvlText w:val="●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560" w:firstLine="72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lvl w:ilvl="0">
      <w:start w:val="5"/>
      <w:numFmt w:val="bullet"/>
      <w:lvlText w:val="●"/>
      <w:pPr>
        <w:ind w:left="1800" w:firstLine="14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pPr>
        <w:ind w:left="2520" w:firstLine="21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pPr>
        <w:ind w:left="3240" w:firstLine="28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pPr>
        <w:ind w:left="3960" w:firstLine="36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pPr>
        <w:ind w:left="4680" w:firstLine="43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pPr>
        <w:ind w:left="5400" w:firstLine="50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pPr>
        <w:ind w:left="6120" w:firstLine="57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pPr>
        <w:ind w:left="6840" w:firstLine="64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pPr>
        <w:ind w:left="7560" w:firstLine="72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Standardi për Zyrën e Regjistrit.docx</dc:title>
</cp:coreProperties>
</file>