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/>
      <w:r w:rsidRPr="00000000" w:rsidR="00000000" w:rsidDel="00000000">
        <w:drawing>
          <wp:inline>
            <wp:extent cy="666750" cx="548640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ext cy="666750" cx="5486400"/>
                    </a:xfrm>
                    <a:prstGeom prst="rect"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Fonts w:cs="Calibri" w:hAnsi="Calibri" w:eastAsia="Calibri" w:ascii="Calibri"/>
          <w:b w:val="1"/>
          <w:sz w:val="28"/>
          <w:rtl w:val="0"/>
        </w:rPr>
        <w:t xml:space="preserve">Zyra për Informim dhe Promovim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Standardet e shërbimit për përkthim dhe interpretim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ind w:left="567" w:hanging="206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Hyrje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Shërbimi për përkthim dhe interpretim ka për qëllim të sigurojë shërbim të cilësisë së lartë të përkthimit dhe interpretimit në mënyrë që të përmbushë misionin e Universitetit, për të lehtësuar rrjedhën efektive të informacionit dhe të sigurojë qasje për përdorimin e politikës fleksibile gjuhësore të Universitetit në tri gjuhët e specifikuara: shqip, maqedonisht dhe anglisht. Shërbimi mbështet komunikimin pozitiv në mes kolegëve dhe Universitetit me organet e jashtme si Ministria e Arsimit.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ind w:left="567" w:hanging="206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Lëmenjtë e funksionimit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komunikim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përkthimi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interpretimi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440" w:firstLine="0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ind w:left="567" w:hanging="206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Klientët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9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Ekipi ekzekutiv i Rektorit, Bordi i Universitetit dhe Zyra për informim dhe promovim.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080"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ind w:left="567" w:hanging="206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Anëtarët e stafit përgjegjës për të realizuar standardet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567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Përkthyesit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ind w:left="567" w:hanging="206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Standardet e shërbimit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08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        V.1  Komunikimi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Në lëmin e komunikimit departamenti do të përdorë Standardin e përgjithshëm të Universitetit në të gjitha domenet përveç atyre specifike për shërbimin e përkthimit si më poshtë.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567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993" w:hanging="425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përkthejmë dhe do të interpretojmë pa komentuar ose ndryshuar përmbajtjen.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426"/>
          <w:tab w:val="left" w:pos="709"/>
        </w:tabs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        V.2    Përkthimi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426"/>
          <w:tab w:val="left" w:pos="709"/>
        </w:tabs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        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ind w:left="993" w:hanging="425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ofrojmë përkthim në tri gjuhë (shqip, maqedonisht dhe anglisht);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ind w:left="993" w:hanging="425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t’u ofrojmë klientëve një afat kohor minimal për realizimin e punës duke pasur parasysh prioritetin, vëllimin dhe kompleksitetin e punës, si dhe kërkesat për lekturë brenda një dite pune;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ind w:left="993" w:hanging="425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ta informojmë klientin me e-mail për çfarëdo vonese dhe do negociojmë afatin e ri për kryerje të përkthimit;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ind w:left="993" w:hanging="425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përkthejmë 6 faqe të materialeve të përgjithshme të shkruara dhe deri 6 faqe të materialeve teknike për një ditë pune;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ind w:left="993" w:hanging="425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bëjmë formatim të materialeve në Calibri, 12 font, 1.0 hapësirë në mes rreshtave dhe në stilin e korporatës;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ind w:left="993" w:hanging="425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ta bëjmë lektorimin e materialeve të përkthyera duke përdorur lektorët e autorizuar për këtë qëllim, deri 10 faqe brenda 24 orëve ose për materialet më të gjata brenda afatit kohor maksimum 10 faqe për një ditë, ose deri në afatin e paraparë;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ind w:left="993" w:hanging="425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t’i dërgojmë materialet e përkthyera dhe të lekturuara menjëherë pas kompletimit;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ind w:left="993" w:hanging="425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ta ruajmë konfidencialitetin për materialet e autorizuara për diskutim, këshillat e dhëna ose të pranuara për materialet.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firstLine="0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  V.3      Interpretimi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567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993" w:hanging="425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ofrojmë shërbime interpretimi në tri gjuhë (shqip, maqedonisht dhe anglisht)</w:t>
      </w:r>
      <w:r w:rsidRPr="00000000" w:rsidR="00000000" w:rsidDel="00000000">
        <w:rPr>
          <w:rFonts w:cs="Calibri" w:hAnsi="Calibri" w:eastAsia="Calibri" w:ascii="Calibri"/>
          <w:i w:val="1"/>
          <w:sz w:val="24"/>
          <w:rtl w:val="0"/>
        </w:rPr>
        <w:t xml:space="preserve">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993" w:hanging="425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t’u ofrojmë klientëve përkthyes kompetentë varësisht nga gjatësia e ngjarjes dhe në gjuhët në të cilat duhet përkthim;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ofrojmë interpretim/përkthim simultan maksimum 1 orë për një përkthyes, ose interpretim/përkthim konsekutiv maksimum 2 orë për një përkthyes;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kërkojmë në mënyrë formale materiale përkrahëse 3 ditë përpara ngjarjes për të maksimalizuar cilësinë e shërbimit;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993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ta vëzhgojmë protokollin e interpretimit në çdo kohë me qëllim të transmetimit të qartë të informacionit dhe të  kuptimit, në mënyrë të plotë dhe pa koment;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993" w:hanging="425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ruajmë konfidencialitetin ashtu siç kërkohet;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993" w:hanging="425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kemi kujdes për sjelljet dhe qëndrimet profesionale në çdo kohë;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08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ind w:left="567" w:hanging="206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</w:t>
      </w: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Monitorimi dhe informata kthyese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08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993" w:hanging="425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Regjistri javor i kërkesave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993" w:hanging="425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Anketimi vjetor i klientëve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993" w:hanging="425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Vlerësimi nga studentët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00" w:line="276" w:before="0"/>
        <w:ind w:left="993" w:hanging="425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Kërkesa për vlerësim nga shfrytëzuesi pas kryerjes së punëve më të mëdha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08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08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08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42"/>
          <w:tab w:val="left" w:pos="1418"/>
        </w:tabs>
        <w:spacing w:lineRule="auto" w:after="200" w:line="276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08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5"/>
      <w:numFmt w:val="bullet"/>
      <w:lvlText w:val="●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200" w:firstLine="68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lvl w:ilvl="0">
      <w:start w:val="5"/>
      <w:numFmt w:val="bullet"/>
      <w:lvlText w:val="●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lvl w:ilvl="0">
      <w:start w:val="5"/>
      <w:numFmt w:val="bullet"/>
      <w:lvlText w:val="●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lvl w:ilvl="0">
      <w:start w:val="5"/>
      <w:numFmt w:val="bullet"/>
      <w:lvlText w:val="●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lvl w:ilvl="0">
      <w:start w:val="5"/>
      <w:numFmt w:val="bullet"/>
      <w:lvlText w:val="●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lvl w:ilvl="0">
      <w:start w:val="5"/>
      <w:numFmt w:val="bullet"/>
      <w:lvlText w:val="●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>
    <w:lvl w:ilvl="0">
      <w:start w:val="1"/>
      <w:numFmt w:val="upperRoman"/>
      <w:lvlText w:val="%1"/>
      <w:pPr>
        <w:ind w:left="108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jc w:val="left"/>
    </w:pPr>
    <w:rPr>
      <w:rFonts w:cs="Times New Roman" w:hAnsi="Times New Roman" w:eastAsia="Times New Roman" w:ascii="Times New Roman"/>
      <w:b w:val="0"/>
      <w:i w:val="0"/>
      <w:smallCaps w:val="0"/>
      <w:strike w:val="0"/>
      <w:color w:val="000000"/>
      <w:sz w:val="20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Standardi për Përkthim dhe Interpretim.docx</dc:title>
</cp:coreProperties>
</file>