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left="-425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425" w:firstLine="0"/>
      </w:pPr>
      <w:r w:rsidRPr="00000000" w:rsidR="00000000" w:rsidDel="00000000">
        <w:rPr>
          <w:rFonts w:cs="Calibri" w:hAnsi="Calibri" w:eastAsia="Calibri" w:ascii="Calibri"/>
          <w:b w:val="1"/>
          <w:sz w:val="28"/>
          <w:vertAlign w:val="baseline"/>
          <w:rtl w:val="0"/>
        </w:rPr>
        <w:t xml:space="preserve">Shërbimi juridik dhe prokurimi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jc w:val="center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Standardet e shërbimit juridik dhe prokurimit 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284" w:hanging="70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Hyrje </w:t>
      </w:r>
    </w:p>
    <w:p w:rsidP="00000000" w:rsidRPr="00000000" w:rsidR="00000000" w:rsidDel="00000000" w:rsidRDefault="00000000">
      <w:pPr>
        <w:spacing w:lineRule="auto" w:after="0" w:before="0"/>
        <w:ind w:left="709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ind w:left="284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Shërbimi juridik dhe prokurimi synon të përmbushë misionin e Universitetit, duke siguruar interpretim  juridik efektiv të dispozitave ligjore nga lëmi i arsimit të lartë dhe lëmenjve tjerë, të statutit, rregulloreve dhe procedurave të Universitetit; dhe këshillim në lidhje me të njëjtat. </w:t>
      </w:r>
    </w:p>
    <w:p w:rsidP="00000000" w:rsidRPr="00000000" w:rsidR="00000000" w:rsidDel="00000000" w:rsidRDefault="00000000">
      <w:pPr>
        <w:spacing w:lineRule="auto" w:after="0" w:before="0"/>
        <w:ind w:left="284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Shërbimi synon bashkëpunim efektiv me stafin e Universitetit, ministritë qendrore dhe organizatat tjera me qëllim që të sigurojë realizimin e aspekteve tjera juridike të qeverisjes dhe menaxhimit të universitetit në mënyrë të drejtë dhe në kohë. </w:t>
      </w:r>
    </w:p>
    <w:p w:rsidP="00000000" w:rsidRPr="00000000" w:rsidR="00000000" w:rsidDel="00000000" w:rsidRDefault="00000000">
      <w:pPr>
        <w:spacing w:lineRule="auto" w:after="0" w:before="0"/>
        <w:ind w:left="284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Standardi ka për detyrë të përkrahë procesin e prokurimit sipas rregulloreve dhe procedurave të Universitetit, arkivimin elektronik efikas duke përfshirë edhe përdorimin e dokumenteve  të arkivuara si dhe distribuimin e postës zyrtare.  </w:t>
      </w:r>
    </w:p>
    <w:p w:rsidP="00000000" w:rsidRPr="00000000" w:rsidR="00000000" w:rsidDel="00000000" w:rsidRDefault="00000000">
      <w:pPr>
        <w:spacing w:lineRule="auto" w:after="0" w:before="0"/>
        <w:ind w:left="709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284" w:hanging="71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 Lëmenjtë e funksionimit   </w:t>
      </w:r>
    </w:p>
    <w:p w:rsidP="00000000" w:rsidRPr="00000000" w:rsidR="00000000" w:rsidDel="00000000" w:rsidRDefault="00000000">
      <w:pPr>
        <w:spacing w:lineRule="auto" w:after="0" w:befor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Komunikimi  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Rrjedhja e informacionit  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Përgatitja e kontratave 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Prokurimi 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Këshilla juridike 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Arkivimi 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Distribuimi i postës </w:t>
      </w:r>
    </w:p>
    <w:p w:rsidP="00000000" w:rsidRPr="00000000" w:rsidR="00000000" w:rsidDel="00000000" w:rsidRDefault="00000000">
      <w:pPr>
        <w:spacing w:lineRule="auto" w:after="0" w:before="0"/>
        <w:ind w:left="1440" w:firstLine="0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284" w:hanging="70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Klientët </w:t>
      </w:r>
    </w:p>
    <w:p w:rsidP="00000000" w:rsidRPr="00000000" w:rsidR="00000000" w:rsidDel="00000000" w:rsidRDefault="00000000">
      <w:pPr>
        <w:spacing w:lineRule="auto" w:after="0" w:before="0"/>
        <w:ind w:left="709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ind w:left="240" w:firstLine="0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Ekipi Ekzekutiv i Rektorit, organet e Universitetit, shërbimet administrative, dekanatet, studentët dhe komuniteti i biznesit.</w:t>
      </w:r>
    </w:p>
    <w:p w:rsidP="00000000" w:rsidRPr="00000000" w:rsidR="00000000" w:rsidDel="00000000" w:rsidRDefault="00000000">
      <w:pPr>
        <w:spacing w:lineRule="auto" w:after="0" w:before="0"/>
        <w:ind w:left="1080"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284" w:hanging="71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Anëtarët e stafit përgjegjës për të realizuar standardet</w:t>
      </w:r>
    </w:p>
    <w:p w:rsidP="00000000" w:rsidRPr="00000000" w:rsidR="00000000" w:rsidDel="00000000" w:rsidRDefault="00000000">
      <w:pPr>
        <w:spacing w:lineRule="auto" w:after="0" w:befor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ind w:left="284" w:firstLine="0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Përgjegjësi i Shërbimit juridik dhe prokurimit, zyrtari në Shërbimin juridik dhe prokurimin, arkivisti, anëtarët e komisioneve të prokurimit dhe operatori për pranimin dhe dërgimin e postës.  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284" w:hanging="71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Standardet e shërbimit</w:t>
      </w:r>
    </w:p>
    <w:p w:rsidP="00000000" w:rsidRPr="00000000" w:rsidR="00000000" w:rsidDel="00000000" w:rsidRDefault="00000000">
      <w:pPr>
        <w:spacing w:lineRule="auto" w:after="0" w:before="0"/>
        <w:ind w:left="108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</w:tabs>
        <w:spacing w:lineRule="auto" w:after="0" w:befor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V.1  Komunikimi 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ind w:left="240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Në lëmin e komunikimit departamenti do të përdorë Standardin e përgjithshëm të Universitetit në të gjitha domenet përveç atyre specifike për sektorin juridik si më poshtë: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Ne:  </w:t>
      </w:r>
    </w:p>
    <w:p w:rsidP="00000000" w:rsidRPr="00000000" w:rsidR="00000000" w:rsidDel="00000000" w:rsidRDefault="00000000">
      <w:pPr>
        <w:spacing w:lineRule="auto" w:after="0" w:befor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sigurojmë informacion të saktë, të vërtetuar dhe këshilla palëve të interesuara, brenda 2 ditëve të punës nga parashtrimi i kërkesës ose sipas prioritetit të rënë dakord;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merremi me kërkesat për sqarim dhe/ose ankesat brenda tri ditëve të punës;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ruajmë në maksimum konfidencialitetin në përputhje me ligjin dhe politikat universitetit në çdo kohë.</w:t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6"/>
          <w:tab w:val="left" w:pos="709"/>
        </w:tabs>
        <w:spacing w:lineRule="auto" w:after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V.2  Rrjedhja e informacionit </w:t>
      </w:r>
    </w:p>
    <w:p w:rsidP="00000000" w:rsidRPr="00000000" w:rsidR="00000000" w:rsidDel="00000000" w:rsidRDefault="00000000">
      <w:pPr>
        <w:tabs>
          <w:tab w:val="left" w:pos="426"/>
          <w:tab w:val="left" w:pos="709"/>
        </w:tabs>
        <w:spacing w:lineRule="auto" w:after="0" w:befor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Ne:</w:t>
      </w:r>
    </w:p>
    <w:p w:rsidP="00000000" w:rsidRPr="00000000" w:rsidR="00000000" w:rsidDel="00000000" w:rsidRDefault="00000000">
      <w:pPr>
        <w:spacing w:lineRule="auto" w:after="0" w:befor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përgatitim procesverbalet nga mbledhjet e organeve të Universitetit brenda tri ditëve të punës;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përgatitim vendimet që dalin nga organet e Universitetit brenda tri ditëve të punës;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qarkullojmë tek stafi i brendshëm apo palët e jashtme vendimet, procesverbalet ose përmbledhjet e rëna dakord brenda një dite pune nga konfirmimi nga ana personit të autorizuar;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përpilojmë vendimet, procesverbalet ose përmbledhjet për qarkullim të përgjithshëm tek Zyra për PR ashtu siç është specifikuar brenda një dite pune nga data e konfirmimit nga personi i autorizuar. </w:t>
      </w:r>
    </w:p>
    <w:p w:rsidP="00000000" w:rsidRPr="00000000" w:rsidR="00000000" w:rsidDel="00000000" w:rsidRDefault="00000000">
      <w:pPr>
        <w:spacing w:lineRule="auto" w:after="0" w:befor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V.3  Përgatitja e kontratave </w:t>
      </w:r>
    </w:p>
    <w:p w:rsidP="00000000" w:rsidRPr="00000000" w:rsidR="00000000" w:rsidDel="00000000" w:rsidRDefault="00000000">
      <w:pPr>
        <w:spacing w:lineRule="auto" w:after="0" w:before="0"/>
        <w:ind w:left="36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Ne:</w:t>
      </w:r>
    </w:p>
    <w:p w:rsidP="00000000" w:rsidRPr="00000000" w:rsidR="00000000" w:rsidDel="00000000" w:rsidRDefault="00000000">
      <w:pPr>
        <w:spacing w:lineRule="auto" w:after="0" w:befor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përgatitim draft kontratat brenda pesë ditëve të punës;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sigurojmë draft kontratat për nënshkrim për klientët dhe Sekretarin e përgjithshëm brenda një dite pune;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arkivojmë kontratat e nënshkruara brenda një dite pune.</w:t>
      </w:r>
    </w:p>
    <w:p w:rsidP="00000000" w:rsidRPr="00000000" w:rsidR="00000000" w:rsidDel="00000000" w:rsidRDefault="00000000">
      <w:pPr>
        <w:spacing w:lineRule="auto" w:after="0" w:before="0"/>
        <w:ind w:left="144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ind w:left="144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</w:tabs>
        <w:spacing w:lineRule="auto" w:after="0" w:befor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V.4  Prokurimi </w:t>
      </w:r>
    </w:p>
    <w:p w:rsidP="00000000" w:rsidRPr="00000000" w:rsidR="00000000" w:rsidDel="00000000" w:rsidRDefault="00000000">
      <w:pPr>
        <w:tabs>
          <w:tab w:val="left" w:pos="720"/>
        </w:tabs>
        <w:spacing w:lineRule="auto" w:after="0" w:befor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</w:tabs>
        <w:spacing w:lineRule="auto" w:after="0" w:befor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Ne: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analizojmë kërkesat për prokurim brenda tri ditëve të punës nga pranimi;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kompletojmë procedurën për prokurim të drejtpërdrejtë brenda pesë ditëve të punës;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informojmë departamentin përgjegjës brenda një dite pune se procedura për prokurim të drejtpërdrejtë është kompletuar;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t’i mbajmë të shpallura thirrjet e hapura për prokurimin të nivelit më të lartë  për dhjetë ditë pune;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mbledhim ofertat përfundimtare brenda pesë ditëve të punës nga përfundimi i thirrjes;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t’i sigurojmë komisionit gjegjës për prokurim dokumentacionin e dorëzuar brenda tri ditëve;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veprojmë si komision për të analizuar dokumentacionin e paraqitur në mënyrë të pavarur, objektive dhe të balancuar dhe do të bëjmë një propozim se kush duhet të fitojë ofertën brenda dhjetë ditë pune nga pranimi i materialeve;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informojmë kompaninë e cila ka ofruar ofertën më të përshtatshme ashtu siç ka vendosur komisioni përkatës dhe konfirmuar nga rektori brenda një dite pune nga marrja e vendimit me shkrim. 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informojmë ofertuesit e pasuksesshëm brenda një dite pune nga marrja e autorizimit nga Rektori.</w:t>
      </w:r>
    </w:p>
    <w:p w:rsidP="00000000" w:rsidRPr="00000000" w:rsidR="00000000" w:rsidDel="00000000" w:rsidRDefault="00000000">
      <w:pPr>
        <w:spacing w:lineRule="auto" w:after="0" w:befor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</w:tabs>
        <w:spacing w:lineRule="auto" w:after="0" w:befor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 V.5  Këshilla juridike </w:t>
      </w:r>
    </w:p>
    <w:p w:rsidP="00000000" w:rsidRPr="00000000" w:rsidR="00000000" w:rsidDel="00000000" w:rsidRDefault="00000000">
      <w:pPr>
        <w:spacing w:lineRule="auto" w:after="0" w:befor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 Ne: </w:t>
      </w:r>
    </w:p>
    <w:p w:rsidP="00000000" w:rsidRPr="00000000" w:rsidR="00000000" w:rsidDel="00000000" w:rsidRDefault="00000000">
      <w:pPr>
        <w:spacing w:lineRule="auto" w:after="0" w:befor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- </w:t>
        <w:tab/>
        <w:t xml:space="preserve">do të përgjigjemi brenda tre dite pune nga parashtrimi i kërkesës me shkrim për këshilla juridike me informacion të plotë dhe të verifikuar dhe këshilla;</w:t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- </w:t>
        <w:tab/>
        <w:t xml:space="preserve">do të përgjigjemi brenda tre dite pune nga parashtrimi i kërkesës gojore për këshilla juridike me informacion të plotë dhe të verifikuar dhe këshilla;</w:t>
      </w:r>
    </w:p>
    <w:p w:rsidP="00000000" w:rsidRPr="00000000" w:rsidR="00000000" w:rsidDel="00000000" w:rsidRDefault="00000000">
      <w:pPr>
        <w:tabs>
          <w:tab w:val="left" w:pos="180"/>
          <w:tab w:val="left" w:pos="720"/>
        </w:tabs>
        <w:spacing w:lineRule="auto" w:after="0" w:befor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</w:tabs>
        <w:spacing w:lineRule="auto" w:after="0" w:befor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 V.6 Arkivimi 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80"/>
        </w:tabs>
        <w:spacing w:lineRule="auto" w:after="0" w:befor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 Ne:</w:t>
      </w:r>
    </w:p>
    <w:p w:rsidP="00000000" w:rsidRPr="00000000" w:rsidR="00000000" w:rsidDel="00000000" w:rsidRDefault="00000000">
      <w:pPr>
        <w:tabs>
          <w:tab w:val="left" w:pos="180"/>
        </w:tabs>
        <w:spacing w:lineRule="auto" w:after="0" w:before="0"/>
        <w:ind w:left="54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- </w:t>
        <w:tab/>
        <w:t xml:space="preserve">do të sigurojmë materialet e arkivuara për stafin e Universitetit brenda dy ditë pune; </w:t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- </w:t>
        <w:tab/>
        <w:t xml:space="preserve">do të regjistrojmë dhe shpërndajmë dokumentet zyrtare hyrëse dhe dalëse brenda një ditë pune; </w:t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- </w:t>
        <w:tab/>
        <w:t xml:space="preserve">do të informojmë personelin e duhur me e-mail në lidhje me dokumentet zyrtare hyrëse dhe dalëse brenda një ditë pune;</w:t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- </w:t>
        <w:tab/>
        <w:t xml:space="preserve">do të shpërndajmë dokumentet zyrtare tek palët e interesuara me e-mail brenda një dite pune;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do të informojmë marrësin ose departamentin për postën brenda një dite pune nga pranimi dhe se materiali është në dispozicion për tu marrë;</w:t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- </w:t>
        <w:tab/>
        <w:t xml:space="preserve">do të arkivojmë certifikatat e studentëve brenda tri ditëve të punës;</w:t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- </w:t>
        <w:tab/>
        <w:t xml:space="preserve">do të arkivojmë dokumentet zyrtare hyrëse dalëse brenda një dite;</w:t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- </w:t>
        <w:tab/>
        <w:t xml:space="preserve">do të arkivojmë dokumentet për progresin akademik të studentëve në ciklin e dytë dhe të tretë të studimeve brenda tri ditëve;</w:t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- </w:t>
        <w:tab/>
        <w:t xml:space="preserve">do të regjistrojmë faturat hyrëse dhe dalëse brenda një dite;</w:t>
      </w:r>
    </w:p>
    <w:p w:rsidP="00000000" w:rsidRPr="00000000" w:rsidR="00000000" w:rsidDel="00000000" w:rsidRDefault="00000000">
      <w:pPr>
        <w:spacing w:lineRule="auto" w:after="0" w:before="0"/>
        <w:ind w:left="108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</w:tabs>
        <w:spacing w:lineRule="auto" w:after="0" w:befor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 V.7 Distribuim i postës</w:t>
      </w:r>
    </w:p>
    <w:p w:rsidP="00000000" w:rsidRPr="00000000" w:rsidR="00000000" w:rsidDel="00000000" w:rsidRDefault="00000000">
      <w:pPr>
        <w:tabs>
          <w:tab w:val="left" w:pos="720"/>
        </w:tabs>
        <w:spacing w:lineRule="auto" w:after="0" w:befor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</w:tabs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 Ne:     </w:t>
      </w:r>
    </w:p>
    <w:p w:rsidP="00000000" w:rsidRPr="00000000" w:rsidR="00000000" w:rsidDel="00000000" w:rsidRDefault="00000000">
      <w:pPr>
        <w:tabs>
          <w:tab w:val="left" w:pos="180"/>
        </w:tabs>
        <w:spacing w:lineRule="auto" w:after="0" w:before="0"/>
        <w:ind w:left="54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- </w:t>
        <w:tab/>
        <w:t xml:space="preserve">do të pranojmë dhe distribuojmë postën zyrtare brenda një dite;</w:t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-  </w:t>
        <w:tab/>
        <w:t xml:space="preserve">do të pregadisim dhe dërgojmë postën zyrtare brenda një dite.</w:t>
      </w:r>
    </w:p>
    <w:p w:rsidP="00000000" w:rsidRPr="00000000" w:rsidR="00000000" w:rsidDel="00000000" w:rsidRDefault="00000000">
      <w:p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    </w:t>
      </w:r>
    </w:p>
    <w:p w:rsidP="00000000" w:rsidRPr="00000000" w:rsidR="00000000" w:rsidDel="00000000" w:rsidRDefault="00000000">
      <w:pPr>
        <w:spacing w:lineRule="auto" w:after="0" w:before="0"/>
        <w:ind w:left="284" w:hanging="70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VI.    </w:t>
        <w:tab/>
        <w:t xml:space="preserve">Monitorimi dhe informata kthyese </w:t>
      </w:r>
    </w:p>
    <w:p w:rsidP="00000000" w:rsidRPr="00000000" w:rsidR="00000000" w:rsidDel="00000000" w:rsidRDefault="00000000">
      <w:pPr>
        <w:spacing w:lineRule="auto" w:after="0" w:before="0"/>
        <w:ind w:left="108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Regjistri javor i kërkesave për Zyrën e shërbimit juridik dhe prokurimit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Anketimi vjetor i klientëve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Raporti vjetor i shërbimit, duke përfshi punën e komisioneve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200" w:line="276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Kërkesa për vlerësim nga shfrytëzuesi pas kryerjes së punëve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left="108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before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5"/>
      <w:numFmt w:val="bullet"/>
      <w:lvlText w:val="●"/>
      <w:pPr>
        <w:ind w:left="1800" w:firstLine="14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520" w:firstLine="21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960" w:firstLine="36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680" w:firstLine="43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120" w:firstLine="57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840" w:firstLine="64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560" w:firstLine="72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5"/>
      <w:numFmt w:val="bullet"/>
      <w:lvlText w:val="●"/>
      <w:pPr>
        <w:ind w:left="1734" w:firstLine="137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454" w:firstLine="209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174" w:firstLine="281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894" w:firstLine="353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614" w:firstLine="425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334" w:firstLine="497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054" w:firstLine="569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774" w:firstLine="641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494" w:firstLine="713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1"/>
      <w:numFmt w:val="upperRoman"/>
      <w:lvlText w:val="%1"/>
      <w:pPr>
        <w:ind w:left="108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160" w:firstLine="19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320" w:firstLine="41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480" w:firstLine="63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0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Standardi për Shërbimin Juridik dhe Prokurimin.docx</dc:title>
</cp:coreProperties>
</file>