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drawing>
          <wp:inline>
            <wp:extent cy="666750" cx="54864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66750" cx="54864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b w:val="1"/>
          <w:sz w:val="28"/>
          <w:rtl w:val="0"/>
        </w:rPr>
        <w:t xml:space="preserve">Departamenti i financave</w:t>
      </w:r>
      <w:r w:rsidRPr="00000000" w:rsidR="00000000" w:rsidDel="00000000">
        <w:rPr>
          <w:rtl w:val="0"/>
        </w:rPr>
        <w:tab/>
        <w:tab/>
        <w:tab/>
        <w:tab/>
      </w:r>
    </w:p>
    <w:p w:rsidP="00000000" w:rsidRPr="00000000" w:rsidR="00000000" w:rsidDel="00000000" w:rsidRDefault="00000000">
      <w:pPr>
        <w:spacing w:lineRule="auto" w:line="24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jc w:val="center"/>
      </w:pPr>
      <w:r w:rsidRPr="00000000" w:rsidR="00000000" w:rsidDel="00000000">
        <w:rPr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200" w:line="240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284" w:firstLine="0"/>
      </w:pPr>
      <w:r w:rsidRPr="00000000" w:rsidR="00000000" w:rsidDel="00000000">
        <w:rPr>
          <w:sz w:val="24"/>
          <w:rtl w:val="0"/>
        </w:rPr>
        <w:t xml:space="preserve">Me qëllim të sigurimit të shërbimeve cilësore financiare për klientët e jashtëm dhe të brendshëm, të respektimit të dispozitave ligjore e standardeve të revizionit  dhe me qëllim të operimit efektiv të procedurave interne  dhe  sigurimit të një shërbimi efiçient e profesionist, Zyra e financave i operon këto standarde të shërbimit.  Këto standarde janë të matshme në aspektin e vëllimit të punës, kohës dhe cilësisë. 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Lëmi i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Dhënia e dokumenteve personale për të punësuarit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Dokumentacioni personal për studentët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Likuidimi i dokumentacionit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Realizimi i të gjithë pagesave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Realizimi i rrogës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Dorëzimi  i raporteve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284" w:hanging="708"/>
      </w:pPr>
      <w:r w:rsidRPr="00000000" w:rsidR="00000000" w:rsidDel="00000000">
        <w:rPr>
          <w:b w:val="1"/>
          <w:sz w:val="24"/>
          <w:rtl w:val="0"/>
        </w:rPr>
        <w:t xml:space="preserve">Klientët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284" w:firstLine="0"/>
      </w:pPr>
      <w:r w:rsidRPr="00000000" w:rsidR="00000000" w:rsidDel="00000000">
        <w:rPr>
          <w:sz w:val="24"/>
          <w:rtl w:val="0"/>
        </w:rPr>
        <w:t xml:space="preserve">Të punësuarit, studentët dhe klientët e jashtëm. 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284" w:hanging="71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Stafi përgjegjës për aplikimin e standardeve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28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Drejtori i financave, asistenti i financave, arkëtari.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200" w:line="276" w:before="0"/>
        <w:ind w:left="284" w:hanging="71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ab/>
        <w:t xml:space="preserve">V.1  Komunikimi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284" w:firstLine="0"/>
        <w:jc w:val="both"/>
      </w:pPr>
      <w:r w:rsidRPr="00000000" w:rsidR="00000000" w:rsidDel="00000000">
        <w:rPr>
          <w:sz w:val="24"/>
          <w:rtl w:val="0"/>
        </w:rPr>
        <w:t xml:space="preserve">Në lëmin e komunikimit departamenti do të përdorë Standardin e përgjithshëm të Universitetit në të gjitha domenet përveç atyre specifike për departamentin e financave si më poshtë:</w:t>
      </w:r>
    </w:p>
    <w:p w:rsidP="00000000" w:rsidRPr="00000000" w:rsidR="00000000" w:rsidDel="00000000" w:rsidRDefault="00000000">
      <w:pPr>
        <w:spacing w:lineRule="auto" w:line="240"/>
        <w:ind w:left="284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b w:val="1"/>
          <w:sz w:val="24"/>
          <w:rtl w:val="0"/>
        </w:rPr>
        <w:t xml:space="preserve">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mbajmë/ndjekim takimet në përputhje me orarin e caktuar nga zyra ose pala tjetër dhe do të sigurojmë të dhëna të sakta dhe kontribut efektiv sipas nevojës;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lëshojmë informata 100% të sakta që bazohen në fakte të dokumentuara;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realizojmë të gjitha shërbimet financiare me konfidencialitet maksimal.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V.2  </w:t>
      </w:r>
      <w:r w:rsidRPr="00000000" w:rsidR="00000000" w:rsidDel="00000000">
        <w:rPr>
          <w:b w:val="1"/>
          <w:sz w:val="24"/>
          <w:rtl w:val="0"/>
        </w:rPr>
        <w:t xml:space="preserve">Dhënia e dokumenteve personale për të punësuarit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japim vërtetime për karburant brenda 24 orëve pas parashtrimit të kërkesës;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japim vërtetime për të punësuarit, si:  vërtetimet për rrogën ose ndalesat administrative  brenda 24 orëve pas parashtrimit të kërkesës;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shpërndajmë raportet vjetore për të hyrat dhe tatimin personal të punësuarve të përhershëm dhe të punësuarve me kontratë deri në 30 mars çdo vit.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V.3 </w:t>
      </w:r>
      <w:r w:rsidRPr="00000000" w:rsidR="00000000" w:rsidDel="00000000">
        <w:rPr>
          <w:b w:val="1"/>
          <w:sz w:val="24"/>
          <w:rtl w:val="0"/>
        </w:rPr>
        <w:t xml:space="preserve">Dokumentacioni  personal për studentët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</w:pPr>
      <w:r w:rsidRPr="00000000" w:rsidR="00000000" w:rsidDel="00000000">
        <w:rPr>
          <w:b w:val="1"/>
          <w:sz w:val="24"/>
          <w:rtl w:val="0"/>
        </w:rPr>
        <w:t xml:space="preserve">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brenda 24 orëve pas parashtrimit të kërkesës, do të japim vërtetime që studenti nuk ka banuar në konvikt;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japim vërtetime për shlyerjen e pagesave për konvikt brenda 24 orëve  pas parashtrimit të kërkesës;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V.4  </w:t>
      </w:r>
      <w:r w:rsidRPr="00000000" w:rsidR="00000000" w:rsidDel="00000000">
        <w:rPr>
          <w:b w:val="1"/>
          <w:sz w:val="24"/>
          <w:rtl w:val="0"/>
        </w:rPr>
        <w:t xml:space="preserve">Likuidimi i dokumentacionit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b w:val="1"/>
          <w:sz w:val="24"/>
          <w:rtl w:val="0"/>
        </w:rPr>
        <w:t xml:space="preserve">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likuidimin e dokumentacionit brenda 48 orëve pasi dokumenti të ketë arritur nga arkivi me qëllim të respektimit të afatit të kryerjes së pagesës;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do të likuidojmë dokumentacionin  që ka të bëjë me projektet me kritere të njëjta.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informojmë menjëherë përdoruesit relevantë për çdo jonkonformitet lidhur me procedurën e likuidimit për të ndërmarrë veprime korrigjuese.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V.5  </w:t>
      </w:r>
      <w:r w:rsidRPr="00000000" w:rsidR="00000000" w:rsidDel="00000000">
        <w:rPr>
          <w:b w:val="1"/>
          <w:sz w:val="24"/>
          <w:rtl w:val="0"/>
        </w:rPr>
        <w:t xml:space="preserve">Realizimi i pagesave 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b w:val="1"/>
          <w:sz w:val="24"/>
          <w:rtl w:val="0"/>
        </w:rPr>
        <w:t xml:space="preserve">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realizojmë të gjitha pagesat pas likuidimit duke respektuar afatin për kryerjen e pagesës;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pagesa dy herë në javë kurse në raste urgjente do të veprojmë menjëherë;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realizojmë një pagesë, në raste kur procedura e prokurimit nuk është respektuar, pas nënshkrimit të deklaratës nga përdoruesi i buxhetit dhe pas autorizimit nga SGJ.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V.6  </w:t>
      </w:r>
      <w:r w:rsidRPr="00000000" w:rsidR="00000000" w:rsidDel="00000000">
        <w:rPr>
          <w:b w:val="1"/>
          <w:sz w:val="24"/>
          <w:rtl w:val="0"/>
        </w:rPr>
        <w:t xml:space="preserve">Realizimi i rrogës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sz w:val="24"/>
          <w:rtl w:val="0"/>
        </w:rPr>
        <w:t xml:space="preserve">     </w:t>
      </w: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realizojmë rrogën për muajin paraprak deri me ditën e pestë të muajit vijues;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pagesën e kontributeve dhe/ose tatimit personal  së bashku me rrogën;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bëjmë ndalesat për kredi në të njëjtin afat kohor;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informojmë të punësuarit në formë elektronike për realizimin e rrogës menjëherë pas realizimit të rrogës;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sigurojmë të gjitha të dhënat e rrogës për të punësuarit full-time online në MY SEEU;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   V.7  Dorëzimi i r</w:t>
      </w:r>
      <w:r w:rsidRPr="00000000" w:rsidR="00000000" w:rsidDel="00000000">
        <w:rPr>
          <w:b w:val="1"/>
          <w:sz w:val="24"/>
          <w:rtl w:val="0"/>
        </w:rPr>
        <w:t xml:space="preserve">aporteve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360"/>
      </w:pPr>
      <w:r w:rsidRPr="00000000" w:rsidR="00000000" w:rsidDel="00000000">
        <w:rPr>
          <w:sz w:val="24"/>
          <w:rtl w:val="0"/>
        </w:rPr>
        <w:t xml:space="preserve">     </w:t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b w:val="1"/>
          <w:sz w:val="24"/>
          <w:rtl w:val="0"/>
        </w:rPr>
        <w:t xml:space="preserve">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sigurohemi se të gjitha raportet janë të sakta, të përditësuara dhe në format të lexueshëm;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përgatitim raportet vjetore një herë në vit në afatin e caktuar ligjor (llogaria vjetore, raporti për tatimin personal);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përgatitim raportin e likuiditetit për muajin paraprak  deri më datën 10 të muajit vijues;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përgatitim raporte dhe analizat të kërkuara ad-hoc në një afat të dakorduar kohor;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 të përgatitim raporte për Entin statistikor në afatin e caktuar nga Enti;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hanging="708"/>
      </w:pPr>
      <w:bookmarkStart w:id="0" w:colFirst="0" w:name="h.gjdgxs" w:colLast="0"/>
      <w:bookmarkEnd w:id="0"/>
      <w:r w:rsidRPr="00000000" w:rsidR="00000000" w:rsidDel="00000000">
        <w:rPr>
          <w:b w:val="1"/>
          <w:sz w:val="24"/>
          <w:rtl w:val="0"/>
        </w:rPr>
        <w:t xml:space="preserve">VI</w:t>
        <w:tab/>
        <w:t xml:space="preserve">Monitorimi dhe informata kthyese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Plotësimi i formularëve dhe check-listave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Pyetësor vjetor për klientët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Analiza e ankesave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7" w:hanging="282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  <w:tab/>
        <w:tab/>
        <w:tab/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5"/>
      <w:numFmt w:val="bullet"/>
      <w:lvlText w:val="●"/>
      <w:pPr>
        <w:ind w:left="1080" w:firstLine="7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5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5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5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5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lvl w:ilvl="0">
      <w:start w:val="5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lvl w:ilvl="0">
      <w:start w:val="1"/>
      <w:numFmt w:val="upperRoman"/>
      <w:lvlText w:val="%1"/>
      <w:pPr>
        <w:ind w:left="108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Standardi për Financat.docx</dc:title>
</cp:coreProperties>
</file>