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/>
      <w:r w:rsidRPr="00000000" w:rsidR="00000000" w:rsidDel="00000000">
        <w:drawing>
          <wp:inline>
            <wp:extent cy="676275" cx="5543550"/>
            <wp:docPr id="1" name="image00.png"/>
            <a:graphic>
              <a:graphicData uri="http://schemas.openxmlformats.org/drawingml/2006/picture">
                <pic:pic>
                  <pic:nvPicPr>
                    <pic:cNvPr id="0" name="image00.png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ext cy="676275" cx="5543550"/>
                    </a:xfrm>
                    <a:prstGeom prst="rect"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Fonts w:cs="Calibri" w:hAnsi="Calibri" w:eastAsia="Calibri" w:ascii="Calibri"/>
          <w:b w:val="1"/>
          <w:sz w:val="28"/>
          <w:rtl w:val="0"/>
        </w:rPr>
        <w:t xml:space="preserve">Zyra për marrëdhënie ndërkombëtare (ZMN)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jc w:val="center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Standardet e shërbimit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 w:line="276" w:before="0"/>
        <w:ind w:left="567" w:hanging="206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Hyrje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720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567" w:firstLine="0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Zyra për hulumtim definon standardet e shërbimit për të siguruar konsistencë të shërbimit dhe për të vendosur pritjet e klientëve të jashtëm, të brendshëm si dhe kolegëve, për të demonstruar përkushtim ndaj cilësisë së shërbimeve.  Standardet specifikojnë  çka mund të presin klientët dhe kur, fokusimin e nevojave të klientëve të zyrës, për të siguruar shërbim të standardizuar i cili mund të jetë i matshëm me fokus në përmirësimin e shërbimeve si dhe motivimin dhe njohjen e suksesit.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720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 w:line="276" w:before="0"/>
        <w:ind w:left="567" w:hanging="206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Lëmenjtë e funksionimit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720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40" w:before="0"/>
        <w:ind w:left="993" w:hanging="42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Komunikimi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40" w:before="0"/>
        <w:ind w:left="993" w:hanging="42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Shërbimi i promovimit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40" w:before="0"/>
        <w:ind w:left="993" w:hanging="42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Ueb faqja ZMN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40" w:before="0"/>
        <w:ind w:left="993" w:hanging="42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Databaza për bursat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40" w:before="0"/>
        <w:ind w:left="993" w:hanging="42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Studentët që shkojnë jashtë shtetit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40" w:before="0"/>
        <w:ind w:left="993" w:hanging="42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Projektet kombëtare dhe ndërkombëtare të këmbimit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1429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200" w:line="276" w:before="0"/>
        <w:ind w:left="567" w:hanging="206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Klientët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67" w:firstLine="0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Studentët e UEJL dhe partnerët, studentët e jashtëm dhe alumni i UEJL-së, studentët ndërkombëtarë,  menaxhmenti  i UEJL-së, stafi akademik dhe administrativ.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 w:line="276" w:before="0"/>
        <w:ind w:left="567" w:hanging="206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Anëtarët e stafit përgjegjës për të realizuar standardet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567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567" w:firstLine="0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Përgjegjësi i ZMN, Zyrtari për mobilitet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200" w:line="276" w:before="0"/>
        <w:ind w:left="1080" w:firstLine="0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ab/>
        <w:t xml:space="preserve">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 w:line="240"/>
        <w:ind w:left="567" w:hanging="206"/>
        <w:jc w:val="both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Standardet e shërbimit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720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200" w:line="276" w:before="0"/>
        <w:ind w:left="567" w:firstLine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V.1   Komunikimi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567" w:firstLine="0"/>
        <w:jc w:val="both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Në lëmin e komunikimit departamenti do të përdorë standardin e përgjithshëm të Universitetit në të gjitha domenet përveç atyre specifike për sektorin e ZMN si më poshtë.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67" w:firstLine="0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Për telefonuesit individualë, ne: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40" w:before="0"/>
        <w:ind w:left="993" w:hanging="436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sigurojmë menjëherë  informacion e duhur në lidhje në punën e zyrës sonë;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40" w:before="0"/>
        <w:ind w:left="993" w:hanging="436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organizojmë takime shtesë ose intervista brenda afatit kohor të specifikuar;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1440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67" w:firstLine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V.2   Shërbimi i promovimit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567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Ne: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40" w:before="0"/>
        <w:ind w:left="993" w:hanging="436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ta maksimalizojmë promovimin e mundësive për mobilitet përmes sesioneve të informimit për stafin, menaxhmentin, palët e interesuara, në bazë të planit vjetor të aktiviteteve;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40" w:before="0"/>
        <w:ind w:left="993" w:hanging="436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organizojmë minimum 2 ditë informative çdo vit akademik për të gjithë palët e interesuara për të promovuar mobilitetin dhe të sigurojmë informacionin e fundit dhe këshilla;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40" w:before="0"/>
        <w:ind w:left="993" w:hanging="436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t’i përkrahim dhe do t’i udhëzojmë studentët që shkojnë jashtë shtetit gjatë procesit të aplikimit për aplikim të suksesshëm;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40" w:before="0"/>
        <w:ind w:left="993" w:hanging="436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pozitivisht dhe aktivisht do të sigurojmë udhëzime, informacion dhe mbështetje për aplikim, lejet e qëndrimit, strehim dhe çështje të tjera të përgjithshme në lidhje me çdo qëndrim të studentëve  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/>
        <w:ind w:left="720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67" w:firstLine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V.3   Ueb faqja e ZMN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556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Ne: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720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40" w:before="0"/>
        <w:ind w:left="993" w:hanging="436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t’i sigurojmë të gjitha informatat e rëndësishme për studentët ndërkombëtarë brenda dy ditëve të punës;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40" w:before="0"/>
        <w:ind w:left="993" w:hanging="436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t’i kontrollojmë dhe do të përgjigjemi në pyetjet e dërguara në e-mail adresën ZMN brenda dy ditëve të punës;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40" w:before="0"/>
        <w:ind w:left="993" w:hanging="436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ta përditësojmë informacionin që do të postohet në ueb faqen e ZMN një herë në javë;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40" w:before="0"/>
        <w:ind w:left="993" w:hanging="436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ta rishikojmë informacionin dhe prezantimin e ueb faqes së ZMN në gjashtë muaj.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720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67" w:firstLine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V.4  Databaza për bursa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556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Ne: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993" w:hanging="436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ta përditësojmë  informacionin specifik për bursa databazën e përbashkët çdo javë me informacion të saktë dhe aktual;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993" w:hanging="436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t’i informojnë klientët në lidhje me mundësitë e ofruara nga baza e të dhënave të bursave nëpërmjet kontaktit të rregullt me email.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720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567" w:firstLine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V.5  Studentët që shkojnë jashtë shtetit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720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567" w:firstLine="0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Ne: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720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993" w:hanging="436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shpërndajmë informacion të saktë, të përditësuar brenda një dite pune për mundësitë për bursa dhe programet e këmbimit që ofrohen për klientët; 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993" w:hanging="436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organizojmë procesin e përzgjedhjes në bazë të rregullave dhe rregulloreve të publikuara brenda afatit të publikuar;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200" w:line="276" w:before="0"/>
        <w:ind w:left="993" w:hanging="436"/>
      </w:pPr>
      <w:r w:rsidRPr="00000000" w:rsidR="00000000" w:rsidDel="00000000">
        <w:rPr>
          <w:rFonts w:cs="Calibri" w:hAnsi="Calibri" w:eastAsia="Calibri" w:ascii="Calibri"/>
          <w:color w:val="333333"/>
          <w:sz w:val="24"/>
          <w:rtl w:val="0"/>
        </w:rPr>
        <w:t xml:space="preserve">do t’i informojmë kandidatët e mundshëm për rezultatet e përzgjedhjes brenda një dite pune nga marrja e vendimit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567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567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567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567" w:firstLine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V.6  Projektet kombëtare dhe ndërkombëtare të shkëmbimit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67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67" w:firstLine="0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Ne: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993" w:hanging="42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mbajmë kontakte të rregullta, proaktive me partnerët aktualë të e projektit;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993" w:hanging="42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në mënyrë aktive do të kërkojmë mundësi  për marrëveshje të për këmbim në nivel kombëtar dhe ndërkombëtar;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993" w:hanging="42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ta rritim numrin e projekteve të suksesshme dypalëshe dhe shumëpalëshe minimum  5% për  vit;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993" w:hanging="42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aplikojmë dhe do të nënshkruajmë marrëveshje bilaterale specifike Erasmus me universitetet evropiane, në mënyrë që ta zgjerojmë mobilitetin dhe mundësitë e këmbimit.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720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 w:line="276" w:before="0"/>
        <w:ind w:left="567" w:hanging="206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Monitorimi dhe informata kthyese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720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40" w:before="0"/>
        <w:ind w:left="993" w:hanging="446"/>
        <w:jc w:val="both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Regjistri i promovimit të bursave dhe kërkesave për shpërndarje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76" w:before="0"/>
        <w:ind w:left="993" w:hanging="42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Anketimi vjetor i klientëve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76" w:before="0"/>
        <w:ind w:left="993" w:hanging="42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Vlerësimi nga studentët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200" w:line="276" w:before="0"/>
        <w:ind w:left="993" w:hanging="425"/>
        <w:jc w:val="both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Kërkesa për vlerësim nga shfrytëzuesi pas kryerjes së punëve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sectPr>
      <w:pgSz w:w="12240" w:h="15840"/>
      <w:pgMar w:left="1134" w:right="1134" w:top="1134" w:bottom="113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1"/>
      <w:numFmt w:val="bullet"/>
      <w:lvlText w:val="●"/>
      <w:pPr>
        <w:ind w:left="2138" w:firstLine="1778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pPr>
        <w:ind w:left="2858" w:firstLine="2498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pPr>
        <w:ind w:left="3578" w:firstLine="3218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pPr>
        <w:ind w:left="4298" w:firstLine="3938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pPr>
        <w:ind w:left="5018" w:firstLine="4658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pPr>
        <w:ind w:left="5738" w:firstLine="5378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pPr>
        <w:ind w:left="6458" w:firstLine="6098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pPr>
        <w:ind w:left="7178" w:firstLine="6818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pPr>
        <w:ind w:left="7898" w:firstLine="7538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">
    <w:lvl w:ilvl="0">
      <w:start w:val="1"/>
      <w:numFmt w:val="bullet"/>
      <w:lvlText w:val="●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pPr>
        <w:ind w:left="7200" w:firstLine="68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">
    <w:lvl w:ilvl="0">
      <w:start w:val="1"/>
      <w:numFmt w:val="bullet"/>
      <w:lvlText w:val="●"/>
      <w:pPr>
        <w:ind w:left="1429" w:firstLine="1069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pPr>
        <w:ind w:left="2149" w:firstLine="1789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pPr>
        <w:ind w:left="2869" w:firstLine="2509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pPr>
        <w:ind w:left="3589" w:firstLine="3229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pPr>
        <w:ind w:left="4309" w:firstLine="3949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pPr>
        <w:ind w:left="5029" w:firstLine="4669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pPr>
        <w:ind w:left="5749" w:firstLine="5389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pPr>
        <w:ind w:left="6469" w:firstLine="6109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pPr>
        <w:ind w:left="7189" w:firstLine="6829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">
    <w:lvl w:ilvl="0">
      <w:start w:val="1"/>
      <w:numFmt w:val="upperRoman"/>
      <w:lvlText w:val="%1"/>
      <w:pPr>
        <w:ind w:left="720" w:firstLine="3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"/>
      <w:pPr>
        <w:ind w:left="2160" w:firstLine="19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"/>
      <w:pPr>
        <w:ind w:left="4320" w:firstLine="41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"/>
      <w:pPr>
        <w:ind w:left="6480" w:firstLine="63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200" w:line="276" w:before="0"/>
      <w:ind w:left="0" w:firstLine="0" w:right="0"/>
      <w:jc w:val="left"/>
    </w:pPr>
    <w:rPr>
      <w:rFonts w:cs="Calibri" w:hAnsi="Calibri" w:eastAsia="Calibri" w:ascii="Calibri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120" w:before="480"/>
    </w:pPr>
    <w:rPr>
      <w:b w:val="1"/>
      <w:sz w:val="48"/>
    </w:rPr>
  </w:style>
  <w:style w:styleId="Heading2" w:type="paragraph">
    <w:name w:val="heading 2"/>
    <w:basedOn w:val="Normal"/>
    <w:next w:val="Normal"/>
    <w:pPr>
      <w:spacing w:lineRule="auto" w:after="80" w:before="360"/>
    </w:pPr>
    <w:rPr>
      <w:b w:val="1"/>
      <w:sz w:val="36"/>
    </w:rPr>
  </w:style>
  <w:style w:styleId="Heading3" w:type="paragraph">
    <w:name w:val="heading 3"/>
    <w:basedOn w:val="Normal"/>
    <w:next w:val="Normal"/>
    <w:pPr>
      <w:spacing w:lineRule="auto" w:after="80" w:before="280"/>
    </w:pPr>
    <w:rPr>
      <w:b w:val="1"/>
      <w:sz w:val="28"/>
    </w:rPr>
  </w:style>
  <w:style w:styleId="Heading4" w:type="paragraph">
    <w:name w:val="heading 4"/>
    <w:basedOn w:val="Normal"/>
    <w:next w:val="Normal"/>
    <w:pPr>
      <w:spacing w:lineRule="auto" w:after="40" w:before="240"/>
    </w:pPr>
    <w:rPr>
      <w:b w:val="1"/>
      <w:sz w:val="24"/>
    </w:rPr>
  </w:style>
  <w:style w:styleId="Heading5" w:type="paragraph">
    <w:name w:val="heading 5"/>
    <w:basedOn w:val="Normal"/>
    <w:next w:val="Normal"/>
    <w:pPr>
      <w:spacing w:lineRule="auto" w:after="40" w:before="220"/>
    </w:pPr>
    <w:rPr>
      <w:b w:val="1"/>
      <w:sz w:val="22"/>
    </w:rPr>
  </w:style>
  <w:style w:styleId="Heading6" w:type="paragraph">
    <w:name w:val="heading 6"/>
    <w:basedOn w:val="Normal"/>
    <w:next w:val="Normal"/>
    <w:pPr>
      <w:spacing w:lineRule="auto" w:after="40" w:before="200"/>
    </w:pPr>
    <w:rPr>
      <w:b w:val="1"/>
      <w:sz w:val="20"/>
    </w:rPr>
  </w:style>
  <w:style w:styleId="Title" w:type="paragraph">
    <w:name w:val="Title"/>
    <w:basedOn w:val="Normal"/>
    <w:next w:val="Normal"/>
    <w:pPr>
      <w:spacing w:lineRule="auto" w:after="120" w:before="480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edia/image00.png" Type="http://schemas.openxmlformats.org/officeDocument/2006/relationships/image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Standardi për Marrëdhënie Ndërkombëtare.docx</dc:title>
</cp:coreProperties>
</file>